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363683" w14:textId="18FB9785" w:rsidR="00E90E49" w:rsidRPr="00E8742F" w:rsidRDefault="00E90E49" w:rsidP="00E35559">
      <w:pPr>
        <w:pStyle w:val="3GPPHeader"/>
        <w:spacing w:after="60"/>
        <w:rPr>
          <w:sz w:val="32"/>
          <w:szCs w:val="32"/>
          <w:highlight w:val="yellow"/>
        </w:rPr>
      </w:pPr>
      <w:r w:rsidRPr="00E8742F">
        <w:t>3GPP TSG-RAN WG</w:t>
      </w:r>
      <w:r w:rsidR="008F1C4E" w:rsidRPr="00E8742F">
        <w:t>1</w:t>
      </w:r>
      <w:r w:rsidRPr="00E8742F">
        <w:t xml:space="preserve"> </w:t>
      </w:r>
      <w:r w:rsidR="008F1C4E" w:rsidRPr="00E8742F">
        <w:t xml:space="preserve">Meeting </w:t>
      </w:r>
      <w:r w:rsidRPr="00E8742F">
        <w:t>#</w:t>
      </w:r>
      <w:r w:rsidR="00491B7D" w:rsidRPr="00E8742F">
        <w:t>94</w:t>
      </w:r>
      <w:r w:rsidRPr="00E8742F">
        <w:tab/>
      </w:r>
      <w:r w:rsidR="00091557" w:rsidRPr="00551550">
        <w:rPr>
          <w:i/>
          <w:sz w:val="32"/>
          <w:szCs w:val="32"/>
        </w:rPr>
        <w:t>R</w:t>
      </w:r>
      <w:r w:rsidR="008F1C4E" w:rsidRPr="00551550">
        <w:rPr>
          <w:i/>
          <w:sz w:val="32"/>
          <w:szCs w:val="32"/>
        </w:rPr>
        <w:t>1</w:t>
      </w:r>
      <w:r w:rsidR="00091557" w:rsidRPr="00551550">
        <w:rPr>
          <w:i/>
          <w:sz w:val="32"/>
          <w:szCs w:val="32"/>
        </w:rPr>
        <w:t>-</w:t>
      </w:r>
      <w:r w:rsidR="005F3025" w:rsidRPr="00551550">
        <w:rPr>
          <w:i/>
          <w:sz w:val="32"/>
          <w:szCs w:val="32"/>
        </w:rPr>
        <w:t>1</w:t>
      </w:r>
      <w:r w:rsidR="008F1C4E" w:rsidRPr="00551550">
        <w:rPr>
          <w:i/>
          <w:sz w:val="32"/>
          <w:szCs w:val="32"/>
        </w:rPr>
        <w:t>8</w:t>
      </w:r>
      <w:r w:rsidR="00303533" w:rsidRPr="00551550">
        <w:rPr>
          <w:i/>
          <w:sz w:val="32"/>
          <w:szCs w:val="32"/>
        </w:rPr>
        <w:t>09257</w:t>
      </w:r>
    </w:p>
    <w:p w14:paraId="31D63A40" w14:textId="7087F3C9" w:rsidR="00E90E49" w:rsidRPr="00E8742F" w:rsidRDefault="00491B7D" w:rsidP="00311702">
      <w:pPr>
        <w:pStyle w:val="3GPPHeader"/>
      </w:pPr>
      <w:r w:rsidRPr="00E8742F">
        <w:t>Gothenburg, Sweden, August 20th – 24th 2018</w:t>
      </w:r>
    </w:p>
    <w:p w14:paraId="028569FE" w14:textId="77777777" w:rsidR="00E90E49" w:rsidRPr="00E8742F" w:rsidRDefault="00E90E49" w:rsidP="00357380">
      <w:pPr>
        <w:pStyle w:val="3GPPHeader"/>
      </w:pPr>
    </w:p>
    <w:p w14:paraId="533FE65A" w14:textId="05259114" w:rsidR="00E90E49" w:rsidRPr="00E8742F" w:rsidRDefault="00E90E49" w:rsidP="00311702">
      <w:pPr>
        <w:pStyle w:val="3GPPHeader"/>
        <w:rPr>
          <w:sz w:val="22"/>
        </w:rPr>
      </w:pPr>
      <w:r w:rsidRPr="00E8742F">
        <w:rPr>
          <w:sz w:val="22"/>
        </w:rPr>
        <w:t>Agenda Item:</w:t>
      </w:r>
      <w:r w:rsidRPr="00E8742F">
        <w:rPr>
          <w:sz w:val="22"/>
        </w:rPr>
        <w:tab/>
      </w:r>
      <w:r w:rsidR="00491B7D" w:rsidRPr="00E8742F">
        <w:rPr>
          <w:sz w:val="22"/>
        </w:rPr>
        <w:t>7.1.1.2</w:t>
      </w:r>
    </w:p>
    <w:p w14:paraId="5574E390" w14:textId="77777777" w:rsidR="00E90E49" w:rsidRPr="00E8742F" w:rsidRDefault="003D3C45" w:rsidP="00F64C2B">
      <w:pPr>
        <w:pStyle w:val="3GPPHeader"/>
        <w:rPr>
          <w:sz w:val="22"/>
        </w:rPr>
      </w:pPr>
      <w:r w:rsidRPr="00E8742F">
        <w:rPr>
          <w:sz w:val="22"/>
        </w:rPr>
        <w:t>Source:</w:t>
      </w:r>
      <w:r w:rsidR="00E90E49" w:rsidRPr="00E8742F">
        <w:rPr>
          <w:sz w:val="22"/>
        </w:rPr>
        <w:tab/>
      </w:r>
      <w:r w:rsidR="00F64C2B" w:rsidRPr="00E8742F">
        <w:rPr>
          <w:sz w:val="22"/>
        </w:rPr>
        <w:t>Ericsson</w:t>
      </w:r>
    </w:p>
    <w:p w14:paraId="004AE621" w14:textId="4BC2F993" w:rsidR="00E90E49" w:rsidRPr="00E8742F" w:rsidRDefault="003D3C45" w:rsidP="00311702">
      <w:pPr>
        <w:pStyle w:val="3GPPHeader"/>
        <w:rPr>
          <w:sz w:val="22"/>
        </w:rPr>
      </w:pPr>
      <w:r w:rsidRPr="00E8742F">
        <w:rPr>
          <w:sz w:val="22"/>
        </w:rPr>
        <w:t>Title:</w:t>
      </w:r>
      <w:r w:rsidR="00E90E49" w:rsidRPr="00E8742F">
        <w:rPr>
          <w:sz w:val="22"/>
        </w:rPr>
        <w:tab/>
      </w:r>
      <w:r w:rsidR="00B66FB9" w:rsidRPr="00303533">
        <w:rPr>
          <w:sz w:val="22"/>
        </w:rPr>
        <w:t xml:space="preserve">Maintenance </w:t>
      </w:r>
      <w:r w:rsidR="00BF4C2A" w:rsidRPr="00303533">
        <w:rPr>
          <w:sz w:val="22"/>
        </w:rPr>
        <w:t>for</w:t>
      </w:r>
      <w:r w:rsidR="0013254F" w:rsidRPr="00303533">
        <w:rPr>
          <w:sz w:val="22"/>
        </w:rPr>
        <w:t xml:space="preserve"> </w:t>
      </w:r>
      <w:r w:rsidR="00BF4C2A" w:rsidRPr="00303533">
        <w:rPr>
          <w:sz w:val="22"/>
        </w:rPr>
        <w:t xml:space="preserve">physical </w:t>
      </w:r>
      <w:proofErr w:type="gramStart"/>
      <w:r w:rsidR="00BF4C2A" w:rsidRPr="00303533">
        <w:rPr>
          <w:sz w:val="22"/>
        </w:rPr>
        <w:t>random access</w:t>
      </w:r>
      <w:proofErr w:type="gramEnd"/>
      <w:r w:rsidR="00BF4C2A" w:rsidRPr="00303533">
        <w:rPr>
          <w:sz w:val="22"/>
        </w:rPr>
        <w:t xml:space="preserve"> </w:t>
      </w:r>
      <w:r w:rsidR="00303533" w:rsidRPr="00303533">
        <w:rPr>
          <w:sz w:val="22"/>
        </w:rPr>
        <w:t>channel</w:t>
      </w:r>
      <w:r w:rsidR="00BF4C2A" w:rsidRPr="00303533">
        <w:rPr>
          <w:sz w:val="22"/>
        </w:rPr>
        <w:t xml:space="preserve"> and procedure</w:t>
      </w:r>
    </w:p>
    <w:p w14:paraId="546B3928" w14:textId="77777777" w:rsidR="00E90E49" w:rsidRPr="00E8742F" w:rsidRDefault="00E90E49" w:rsidP="00D546FF">
      <w:pPr>
        <w:pStyle w:val="3GPPHeader"/>
        <w:rPr>
          <w:sz w:val="22"/>
        </w:rPr>
      </w:pPr>
      <w:r w:rsidRPr="00E8742F">
        <w:rPr>
          <w:sz w:val="22"/>
        </w:rPr>
        <w:t>Document for:</w:t>
      </w:r>
      <w:r w:rsidRPr="00E8742F">
        <w:rPr>
          <w:sz w:val="22"/>
        </w:rPr>
        <w:tab/>
        <w:t>Discussion, Decision</w:t>
      </w:r>
    </w:p>
    <w:p w14:paraId="307CA414" w14:textId="77777777" w:rsidR="00E90E49" w:rsidRPr="00E8742F" w:rsidRDefault="00E90E49" w:rsidP="00E90E49"/>
    <w:p w14:paraId="38AF4E63" w14:textId="77777777" w:rsidR="00E90E49" w:rsidRPr="00CE0424" w:rsidRDefault="00230D18" w:rsidP="00CE0424">
      <w:pPr>
        <w:pStyle w:val="Heading1"/>
      </w:pPr>
      <w:r>
        <w:t>1</w:t>
      </w:r>
      <w:r>
        <w:tab/>
      </w:r>
      <w:r w:rsidR="00E90E49" w:rsidRPr="00CE0424">
        <w:t>Introduction</w:t>
      </w:r>
    </w:p>
    <w:p w14:paraId="385EEB81" w14:textId="6754E704" w:rsidR="00477768" w:rsidRPr="00E8742F" w:rsidRDefault="009264D0" w:rsidP="00CE0424">
      <w:pPr>
        <w:pStyle w:val="BodyText"/>
      </w:pPr>
      <w:r w:rsidRPr="00E8742F">
        <w:t xml:space="preserve">In this contribution, we </w:t>
      </w:r>
      <w:r w:rsidRPr="00303533">
        <w:t>discuss aspects related to PRACH</w:t>
      </w:r>
      <w:r w:rsidR="00E8742F" w:rsidRPr="00303533">
        <w:t xml:space="preserve"> and RACH procedure</w:t>
      </w:r>
      <w:r w:rsidRPr="00303533">
        <w:t xml:space="preserve"> for</w:t>
      </w:r>
      <w:r w:rsidRPr="00E8742F">
        <w:t xml:space="preserve"> release 15 maintenance.</w:t>
      </w:r>
    </w:p>
    <w:p w14:paraId="2C7D8EE7" w14:textId="77777777" w:rsidR="004000E8" w:rsidRPr="00CE0424" w:rsidRDefault="00230D18" w:rsidP="00CE0424">
      <w:pPr>
        <w:pStyle w:val="Heading1"/>
      </w:pPr>
      <w:bookmarkStart w:id="0" w:name="_Ref178064866"/>
      <w:r>
        <w:t>2</w:t>
      </w:r>
      <w:r>
        <w:tab/>
      </w:r>
      <w:r w:rsidR="004000E8" w:rsidRPr="00CE0424">
        <w:t>Discussion</w:t>
      </w:r>
      <w:bookmarkEnd w:id="0"/>
    </w:p>
    <w:p w14:paraId="67E001FE" w14:textId="296C8EC9" w:rsidR="00F63950" w:rsidRDefault="00230D18" w:rsidP="00F63950">
      <w:pPr>
        <w:pStyle w:val="Heading2"/>
      </w:pPr>
      <w:bookmarkStart w:id="1" w:name="_Ref521422281"/>
      <w:r>
        <w:t>2.1</w:t>
      </w:r>
      <w:r>
        <w:tab/>
      </w:r>
      <w:r w:rsidR="00840620">
        <w:t xml:space="preserve">Collision between SSB and PRACH </w:t>
      </w:r>
      <w:r w:rsidR="00350EE2">
        <w:t>O</w:t>
      </w:r>
      <w:r w:rsidR="00840620">
        <w:t>ccasion</w:t>
      </w:r>
      <w:bookmarkEnd w:id="1"/>
    </w:p>
    <w:p w14:paraId="17B95175" w14:textId="4F373D4C" w:rsidR="0027144F" w:rsidRPr="00E8742F" w:rsidRDefault="00EA79AE" w:rsidP="00CE0424">
      <w:pPr>
        <w:pStyle w:val="BodyText"/>
      </w:pPr>
      <w:r w:rsidRPr="00E8742F">
        <w:t xml:space="preserve">Currently, </w:t>
      </w:r>
      <w:bookmarkStart w:id="2" w:name="_Hlk521404024"/>
      <w:r w:rsidR="005476F9">
        <w:t xml:space="preserve">3GPP TS </w:t>
      </w:r>
      <w:r w:rsidRPr="00E8742F">
        <w:t xml:space="preserve">38.213 </w:t>
      </w:r>
      <w:r w:rsidR="00831938">
        <w:fldChar w:fldCharType="begin"/>
      </w:r>
      <w:r w:rsidR="00831938" w:rsidRPr="00E8742F">
        <w:instrText xml:space="preserve"> REF _Ref521404802 \r \h </w:instrText>
      </w:r>
      <w:r w:rsidR="00831938">
        <w:fldChar w:fldCharType="separate"/>
      </w:r>
      <w:r w:rsidR="00CF6FC6">
        <w:t>[1]</w:t>
      </w:r>
      <w:r w:rsidR="00831938">
        <w:fldChar w:fldCharType="end"/>
      </w:r>
      <w:r w:rsidRPr="00E8742F">
        <w:t xml:space="preserve"> specifies that </w:t>
      </w:r>
      <w:r w:rsidR="00831938" w:rsidRPr="00E8742F">
        <w:t xml:space="preserve">a </w:t>
      </w:r>
      <w:r w:rsidR="00D20563" w:rsidRPr="00E8742F">
        <w:t>PRACH</w:t>
      </w:r>
      <w:r w:rsidR="00831938" w:rsidRPr="00E8742F">
        <w:t xml:space="preserve"> occasion</w:t>
      </w:r>
      <w:r w:rsidR="00D20563" w:rsidRPr="00E8742F">
        <w:t xml:space="preserve"> colliding with</w:t>
      </w:r>
      <w:r w:rsidR="005A1050" w:rsidRPr="00E8742F">
        <w:t xml:space="preserve"> an </w:t>
      </w:r>
      <w:r w:rsidR="00D20563" w:rsidRPr="00E8742F">
        <w:t xml:space="preserve">SSB is </w:t>
      </w:r>
      <w:r w:rsidR="00522D80" w:rsidRPr="00E8742F">
        <w:t>invalid</w:t>
      </w:r>
      <w:r w:rsidR="00D20563" w:rsidRPr="00E8742F">
        <w:t xml:space="preserve"> only if semi-statically configured UL/DL is used</w:t>
      </w:r>
      <w:bookmarkEnd w:id="2"/>
      <w:r w:rsidR="00246480" w:rsidRPr="00E8742F">
        <w:t xml:space="preserve"> (since the</w:t>
      </w:r>
      <w:r w:rsidR="001810A0" w:rsidRPr="00E8742F">
        <w:t xml:space="preserve"> invalidation of PRACH occasions is </w:t>
      </w:r>
      <w:r w:rsidR="00EB7A7B" w:rsidRPr="00E8742F">
        <w:t xml:space="preserve">in the specification text </w:t>
      </w:r>
      <w:r w:rsidR="001810A0" w:rsidRPr="00E8742F">
        <w:t xml:space="preserve">conditioned on the presence of the </w:t>
      </w:r>
      <w:proofErr w:type="spellStart"/>
      <w:r w:rsidR="00AE0781" w:rsidRPr="00E8742F">
        <w:t>tdd</w:t>
      </w:r>
      <w:proofErr w:type="spellEnd"/>
      <w:r w:rsidR="00AE0781" w:rsidRPr="00E8742F">
        <w:t>-UL-DL-</w:t>
      </w:r>
      <w:proofErr w:type="spellStart"/>
      <w:r w:rsidR="00AE0781" w:rsidRPr="00E8742F">
        <w:t>ConfigurationCommon</w:t>
      </w:r>
      <w:proofErr w:type="spellEnd"/>
      <w:r w:rsidR="00AE0781" w:rsidRPr="00E8742F">
        <w:t xml:space="preserve"> </w:t>
      </w:r>
      <w:r w:rsidR="00EC51D5" w:rsidRPr="00E8742F">
        <w:t>or</w:t>
      </w:r>
      <w:r w:rsidR="00AE0781" w:rsidRPr="00E8742F">
        <w:t xml:space="preserve"> tdd-UL-DL-ConfigurationCommon2). However, </w:t>
      </w:r>
      <w:r w:rsidR="00E4606F" w:rsidRPr="00E8742F">
        <w:t xml:space="preserve">PRACH collisions with SSB should be generally prohibited whenever </w:t>
      </w:r>
      <w:r w:rsidR="00C60FB0" w:rsidRPr="00E8742F">
        <w:t>unpaired spectrum (TDD) is used</w:t>
      </w:r>
      <w:r w:rsidR="00647807" w:rsidRPr="00E8742F">
        <w:t xml:space="preserve">, </w:t>
      </w:r>
      <w:r w:rsidR="005F3574" w:rsidRPr="00E8742F">
        <w:t>since</w:t>
      </w:r>
      <w:r w:rsidR="00647807" w:rsidRPr="00E8742F">
        <w:t xml:space="preserve"> </w:t>
      </w:r>
      <w:r w:rsidR="00D60AD9" w:rsidRPr="00E8742F">
        <w:t xml:space="preserve">in that case </w:t>
      </w:r>
      <w:r w:rsidR="00647807" w:rsidRPr="00E8742F">
        <w:t>the TRP cannot listen to PRACH while transmitting SSB.</w:t>
      </w:r>
    </w:p>
    <w:p w14:paraId="3B04156E" w14:textId="77777777" w:rsidR="00356000" w:rsidRPr="00E8742F" w:rsidRDefault="00356000" w:rsidP="00CE0424">
      <w:pPr>
        <w:pStyle w:val="BodyText"/>
      </w:pPr>
    </w:p>
    <w:p w14:paraId="5F853D27" w14:textId="19E0CB76" w:rsidR="00840620" w:rsidRPr="00E8742F" w:rsidRDefault="00825F29" w:rsidP="00C60FB0">
      <w:pPr>
        <w:pStyle w:val="Observation"/>
      </w:pPr>
      <w:bookmarkStart w:id="3" w:name="_Toc521707030"/>
      <w:r>
        <w:t xml:space="preserve">3GPP TS </w:t>
      </w:r>
      <w:r w:rsidR="00C60FB0" w:rsidRPr="00E8742F">
        <w:t xml:space="preserve">38.213 </w:t>
      </w:r>
      <w:r w:rsidR="00246480" w:rsidRPr="00E8742F">
        <w:t xml:space="preserve">V15.2.0 </w:t>
      </w:r>
      <w:r w:rsidR="00C60FB0" w:rsidRPr="00E8742F">
        <w:t xml:space="preserve">specifies that PRACH colliding with </w:t>
      </w:r>
      <w:r w:rsidR="005B05AD" w:rsidRPr="00E8742F">
        <w:t xml:space="preserve">(or preceding) </w:t>
      </w:r>
      <w:r w:rsidR="00C60FB0" w:rsidRPr="00E8742F">
        <w:t xml:space="preserve">SSB is </w:t>
      </w:r>
      <w:r w:rsidR="00582DC2" w:rsidRPr="00E8742F">
        <w:t>invalid</w:t>
      </w:r>
      <w:r w:rsidR="008C35B9">
        <w:t>ated</w:t>
      </w:r>
      <w:r w:rsidR="00C60FB0" w:rsidRPr="00E8742F">
        <w:t xml:space="preserve"> only if semi-statically configured UL/DL is used</w:t>
      </w:r>
      <w:r w:rsidR="00246480" w:rsidRPr="00E8742F">
        <w:t>.</w:t>
      </w:r>
      <w:bookmarkEnd w:id="3"/>
    </w:p>
    <w:p w14:paraId="3EE48313" w14:textId="77777777" w:rsidR="00840620" w:rsidRPr="00E8742F" w:rsidRDefault="00840620" w:rsidP="00CE0424">
      <w:pPr>
        <w:pStyle w:val="BodyText"/>
      </w:pPr>
    </w:p>
    <w:p w14:paraId="3B76A35C" w14:textId="7B4AA2DC" w:rsidR="00287838" w:rsidRPr="00E8742F" w:rsidRDefault="00FE0DDE" w:rsidP="00A04F49">
      <w:pPr>
        <w:pStyle w:val="Proposal"/>
      </w:pPr>
      <w:bookmarkStart w:id="4" w:name="_Toc521707042"/>
      <w:r w:rsidRPr="00E8742F">
        <w:t xml:space="preserve">PRACH occasions colliding with </w:t>
      </w:r>
      <w:r w:rsidR="005B05AD" w:rsidRPr="00E8742F">
        <w:t xml:space="preserve">(or preceding) </w:t>
      </w:r>
      <w:r w:rsidRPr="00E8742F">
        <w:t>SSB should be invalid</w:t>
      </w:r>
      <w:r w:rsidR="00522D80" w:rsidRPr="00E8742F">
        <w:t xml:space="preserve"> whenever unpaired spectrum (TDD) is used</w:t>
      </w:r>
      <w:r w:rsidR="00EF67E5" w:rsidRPr="00E8742F">
        <w:t>.</w:t>
      </w:r>
      <w:r w:rsidR="001F2482" w:rsidRPr="00E8742F">
        <w:t xml:space="preserve"> </w:t>
      </w:r>
      <w:r w:rsidR="00C00DA3" w:rsidRPr="00E8742F">
        <w:t>To this end, t</w:t>
      </w:r>
      <w:r w:rsidR="00522D80" w:rsidRPr="00E8742F">
        <w:t xml:space="preserve">he </w:t>
      </w:r>
      <w:r w:rsidR="00E078BD" w:rsidRPr="00E8742F">
        <w:t xml:space="preserve">provided </w:t>
      </w:r>
      <w:r w:rsidR="00522D80" w:rsidRPr="00E8742F">
        <w:t xml:space="preserve">text proposal </w:t>
      </w:r>
      <w:r w:rsidR="00C30BB9">
        <w:t>below</w:t>
      </w:r>
      <w:r w:rsidR="001C00E9" w:rsidRPr="00E8742F">
        <w:t xml:space="preserve"> </w:t>
      </w:r>
      <w:r w:rsidR="00522D80" w:rsidRPr="00E8742F">
        <w:t xml:space="preserve">for </w:t>
      </w:r>
      <w:r w:rsidR="00740C0B" w:rsidRPr="00E8742F">
        <w:t>38.213</w:t>
      </w:r>
      <w:r w:rsidR="00582DC2" w:rsidRPr="00E8742F">
        <w:t>,</w:t>
      </w:r>
      <w:r w:rsidR="00740C0B" w:rsidRPr="00E8742F">
        <w:t xml:space="preserve"> Section 8.1</w:t>
      </w:r>
      <w:r w:rsidR="00582DC2" w:rsidRPr="00E8742F">
        <w:t>,</w:t>
      </w:r>
      <w:r w:rsidR="00740C0B" w:rsidRPr="00E8742F">
        <w:t xml:space="preserve"> </w:t>
      </w:r>
      <w:r w:rsidR="00522D80" w:rsidRPr="00E8742F">
        <w:t>should be adopted.</w:t>
      </w:r>
      <w:bookmarkEnd w:id="4"/>
    </w:p>
    <w:p w14:paraId="1EB303CD" w14:textId="0E580F90" w:rsidR="00213D2B" w:rsidRPr="00C30BB9" w:rsidRDefault="00213D2B" w:rsidP="00C30BB9">
      <w:pPr>
        <w:rPr>
          <w:lang w:eastAsia="ja-JP"/>
        </w:rPr>
      </w:pPr>
    </w:p>
    <w:p w14:paraId="078A4497" w14:textId="5E9143F5" w:rsidR="00C30BB9" w:rsidRDefault="00C30BB9" w:rsidP="00C30BB9">
      <w:pPr>
        <w:rPr>
          <w:lang w:val="en-GB" w:eastAsia="ja-JP"/>
        </w:rPr>
      </w:pPr>
      <w:r w:rsidRPr="00673D6E">
        <w:rPr>
          <w:rFonts w:cs="Arial"/>
          <w:color w:val="FF0000"/>
          <w:lang w:val="en-GB" w:eastAsia="ja-JP"/>
        </w:rPr>
        <w:t>------------------------------------------------</w:t>
      </w:r>
      <w:r>
        <w:rPr>
          <w:rFonts w:cs="Arial"/>
          <w:color w:val="FF0000"/>
          <w:lang w:val="en-GB" w:eastAsia="ja-JP"/>
        </w:rPr>
        <w:t xml:space="preserve"> </w:t>
      </w:r>
      <w:r w:rsidRPr="00673D6E">
        <w:rPr>
          <w:rFonts w:cs="Arial"/>
          <w:color w:val="FF0000"/>
          <w:lang w:val="en-GB" w:eastAsia="ja-JP"/>
        </w:rPr>
        <w:t xml:space="preserve">Start of </w:t>
      </w:r>
      <w:r w:rsidR="00D0522F">
        <w:rPr>
          <w:rFonts w:cs="Arial"/>
          <w:color w:val="FF0000"/>
          <w:lang w:val="en-GB" w:eastAsia="ja-JP"/>
        </w:rPr>
        <w:t>TP to 38</w:t>
      </w:r>
      <w:r w:rsidRPr="00673D6E">
        <w:rPr>
          <w:rFonts w:cs="Arial"/>
          <w:color w:val="FF0000"/>
          <w:lang w:val="en-GB" w:eastAsia="ja-JP"/>
        </w:rPr>
        <w:t>.213</w:t>
      </w:r>
      <w:r>
        <w:rPr>
          <w:rFonts w:cs="Arial"/>
          <w:color w:val="FF0000"/>
          <w:lang w:val="en-GB" w:eastAsia="ja-JP"/>
        </w:rPr>
        <w:t>, Section 8.1 ----------------------------------</w:t>
      </w:r>
    </w:p>
    <w:p w14:paraId="5E75FCA4" w14:textId="77777777" w:rsidR="00C30BB9" w:rsidRPr="00C30BB9" w:rsidRDefault="00C30BB9" w:rsidP="00C30BB9">
      <w:pPr>
        <w:rPr>
          <w:rFonts w:ascii="Times New Roman" w:hAnsi="Times New Roman" w:cs="Times New Roman"/>
          <w:color w:val="FF0000"/>
          <w:u w:val="single"/>
          <w:lang w:eastAsia="zh-CN"/>
        </w:rPr>
      </w:pPr>
      <w:r w:rsidRPr="00C30BB9">
        <w:rPr>
          <w:rFonts w:ascii="Times New Roman" w:hAnsi="Times New Roman" w:cs="Times New Roman"/>
          <w:color w:val="FF0000"/>
          <w:u w:val="single"/>
          <w:lang w:eastAsia="zh-CN"/>
        </w:rPr>
        <w:t xml:space="preserve">For unpaired spectrum, </w:t>
      </w:r>
      <w:r w:rsidRPr="00C30BB9">
        <w:rPr>
          <w:rFonts w:ascii="Times New Roman" w:hAnsi="Times New Roman" w:cs="Times New Roman"/>
          <w:color w:val="FF0000"/>
          <w:u w:val="single"/>
        </w:rPr>
        <w:t xml:space="preserve">a PRACH occasion </w:t>
      </w:r>
      <w:r w:rsidRPr="00C30BB9">
        <w:rPr>
          <w:rStyle w:val="colour"/>
          <w:rFonts w:ascii="Times New Roman" w:hAnsi="Times New Roman" w:cs="Times New Roman"/>
          <w:color w:val="FF0000"/>
          <w:u w:val="single"/>
        </w:rPr>
        <w:t>in a PRACH slot</w:t>
      </w:r>
      <w:r w:rsidRPr="00C30BB9">
        <w:rPr>
          <w:rFonts w:ascii="Times New Roman" w:hAnsi="Times New Roman" w:cs="Times New Roman"/>
          <w:color w:val="FF0000"/>
          <w:u w:val="single"/>
        </w:rPr>
        <w:t xml:space="preserve"> is invalid if it precedes a SS/PBCH block in the PRACH slot or starts less than</w:t>
      </w:r>
      <w:r w:rsidRPr="00C30BB9">
        <w:rPr>
          <w:rFonts w:ascii="Times New Roman" w:hAnsi="Times New Roman" w:cs="Times New Roman"/>
          <w:noProof/>
          <w:color w:val="FF0000"/>
          <w:position w:val="-12"/>
          <w:u w:val="single"/>
          <w:lang w:val="en-GB" w:eastAsia="en-GB"/>
        </w:rPr>
        <w:drawing>
          <wp:inline distT="0" distB="0" distL="0" distR="0" wp14:anchorId="0D7BBC2F" wp14:editId="5EEF20A7">
            <wp:extent cx="277495" cy="196850"/>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7495" cy="196850"/>
                    </a:xfrm>
                    <a:prstGeom prst="rect">
                      <a:avLst/>
                    </a:prstGeom>
                    <a:noFill/>
                    <a:ln>
                      <a:noFill/>
                    </a:ln>
                  </pic:spPr>
                </pic:pic>
              </a:graphicData>
            </a:graphic>
          </wp:inline>
        </w:drawing>
      </w:r>
      <w:r w:rsidRPr="00C30BB9">
        <w:rPr>
          <w:rFonts w:ascii="Times New Roman" w:hAnsi="Times New Roman" w:cs="Times New Roman"/>
          <w:color w:val="FF0000"/>
          <w:u w:val="single"/>
        </w:rPr>
        <w:t xml:space="preserve"> symbols after a last SS/PBCH block transmission symbol, where </w:t>
      </w:r>
      <w:r w:rsidRPr="00C30BB9">
        <w:rPr>
          <w:rFonts w:ascii="Times New Roman" w:hAnsi="Times New Roman" w:cs="Times New Roman"/>
          <w:noProof/>
          <w:color w:val="FF0000"/>
          <w:position w:val="-12"/>
          <w:u w:val="single"/>
          <w:lang w:val="en-GB" w:eastAsia="en-GB"/>
        </w:rPr>
        <w:drawing>
          <wp:inline distT="0" distB="0" distL="0" distR="0" wp14:anchorId="16C48EBF" wp14:editId="0DA4F454">
            <wp:extent cx="266065" cy="196850"/>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6065" cy="196850"/>
                    </a:xfrm>
                    <a:prstGeom prst="rect">
                      <a:avLst/>
                    </a:prstGeom>
                    <a:noFill/>
                    <a:ln>
                      <a:noFill/>
                    </a:ln>
                  </pic:spPr>
                </pic:pic>
              </a:graphicData>
            </a:graphic>
          </wp:inline>
        </w:drawing>
      </w:r>
      <w:r w:rsidRPr="00C30BB9">
        <w:rPr>
          <w:rFonts w:ascii="Times New Roman" w:hAnsi="Times New Roman" w:cs="Times New Roman"/>
          <w:color w:val="FF0000"/>
          <w:u w:val="single"/>
        </w:rPr>
        <w:t xml:space="preserve"> is provided in Table 8.2-2.</w:t>
      </w:r>
    </w:p>
    <w:p w14:paraId="6F6A0AB9" w14:textId="77777777" w:rsidR="00C30BB9" w:rsidRPr="0025260C" w:rsidRDefault="00C30BB9" w:rsidP="00C30BB9">
      <w:pPr>
        <w:rPr>
          <w:rFonts w:ascii="Times New Roman" w:eastAsia="Times New Roman" w:hAnsi="Times New Roman" w:cs="Times New Roman"/>
          <w:szCs w:val="20"/>
        </w:rPr>
      </w:pPr>
      <w:r w:rsidRPr="0025260C">
        <w:rPr>
          <w:rFonts w:ascii="Times New Roman" w:hAnsi="Times New Roman" w:cs="Times New Roman"/>
          <w:lang w:eastAsia="zh-CN"/>
        </w:rPr>
        <w:t xml:space="preserve">If a UE is provided </w:t>
      </w:r>
      <w:r w:rsidRPr="0025260C">
        <w:rPr>
          <w:rFonts w:ascii="Times New Roman" w:hAnsi="Times New Roman" w:cs="Times New Roman"/>
        </w:rPr>
        <w:t xml:space="preserve">higher layer parameter </w:t>
      </w:r>
      <w:proofErr w:type="spellStart"/>
      <w:r w:rsidRPr="0025260C">
        <w:rPr>
          <w:rFonts w:ascii="Times New Roman" w:hAnsi="Times New Roman" w:cs="Times New Roman"/>
          <w:i/>
        </w:rPr>
        <w:t>tdd</w:t>
      </w:r>
      <w:proofErr w:type="spellEnd"/>
      <w:r w:rsidRPr="0025260C">
        <w:rPr>
          <w:rFonts w:ascii="Times New Roman" w:hAnsi="Times New Roman" w:cs="Times New Roman"/>
          <w:i/>
        </w:rPr>
        <w:t>-UL-DL-</w:t>
      </w:r>
      <w:proofErr w:type="spellStart"/>
      <w:r w:rsidRPr="0025260C">
        <w:rPr>
          <w:rFonts w:ascii="Times New Roman" w:hAnsi="Times New Roman" w:cs="Times New Roman"/>
          <w:i/>
        </w:rPr>
        <w:t>ConfigurationCommon</w:t>
      </w:r>
      <w:proofErr w:type="spellEnd"/>
      <w:r w:rsidRPr="0025260C">
        <w:rPr>
          <w:rFonts w:ascii="Times New Roman" w:hAnsi="Times New Roman" w:cs="Times New Roman"/>
        </w:rPr>
        <w:t xml:space="preserve">, or is also provided higher layer parameter </w:t>
      </w:r>
      <w:r w:rsidRPr="0025260C">
        <w:rPr>
          <w:rFonts w:ascii="Times New Roman" w:hAnsi="Times New Roman" w:cs="Times New Roman"/>
          <w:i/>
        </w:rPr>
        <w:t>tdd-UL-DL-ConfigurationCommon2</w:t>
      </w:r>
      <w:r w:rsidRPr="0025260C">
        <w:rPr>
          <w:rFonts w:ascii="Times New Roman" w:hAnsi="Times New Roman" w:cs="Times New Roman"/>
        </w:rPr>
        <w:t xml:space="preserve">, a PRACH occasion </w:t>
      </w:r>
      <w:r w:rsidRPr="0025260C">
        <w:rPr>
          <w:rStyle w:val="colour"/>
          <w:rFonts w:ascii="Times New Roman" w:hAnsi="Times New Roman" w:cs="Times New Roman"/>
        </w:rPr>
        <w:t>in a PRACH slot</w:t>
      </w:r>
      <w:r w:rsidRPr="0025260C">
        <w:rPr>
          <w:rFonts w:ascii="Times New Roman" w:hAnsi="Times New Roman" w:cs="Times New Roman"/>
        </w:rPr>
        <w:t xml:space="preserve"> is</w:t>
      </w:r>
      <w:r w:rsidRPr="00C30BB9">
        <w:rPr>
          <w:rFonts w:ascii="Times New Roman" w:hAnsi="Times New Roman" w:cs="Times New Roman"/>
          <w:color w:val="FF0000"/>
          <w:u w:val="single"/>
        </w:rPr>
        <w:t xml:space="preserve"> also</w:t>
      </w:r>
      <w:r w:rsidRPr="0025260C">
        <w:rPr>
          <w:rFonts w:ascii="Times New Roman" w:hAnsi="Times New Roman" w:cs="Times New Roman"/>
        </w:rPr>
        <w:t xml:space="preserve"> </w:t>
      </w:r>
      <w:r w:rsidRPr="00C30BB9">
        <w:rPr>
          <w:rFonts w:ascii="Times New Roman" w:hAnsi="Times New Roman" w:cs="Times New Roman"/>
          <w:color w:val="FF0000"/>
          <w:u w:val="single"/>
        </w:rPr>
        <w:t>in</w:t>
      </w:r>
      <w:r w:rsidRPr="0025260C">
        <w:rPr>
          <w:rFonts w:ascii="Times New Roman" w:hAnsi="Times New Roman" w:cs="Times New Roman"/>
        </w:rPr>
        <w:t xml:space="preserve">valid if </w:t>
      </w:r>
    </w:p>
    <w:p w14:paraId="522A51AB" w14:textId="77777777" w:rsidR="00C30BB9" w:rsidRPr="0025260C" w:rsidRDefault="00C30BB9" w:rsidP="00C30BB9">
      <w:pPr>
        <w:pStyle w:val="B1"/>
        <w:spacing w:after="240"/>
        <w:rPr>
          <w:rFonts w:cs="Times New Roman"/>
        </w:rPr>
      </w:pPr>
      <w:r w:rsidRPr="0025260C">
        <w:rPr>
          <w:rFonts w:cs="Times New Roman"/>
        </w:rPr>
        <w:t>-</w:t>
      </w:r>
      <w:r w:rsidRPr="0025260C">
        <w:rPr>
          <w:rFonts w:cs="Times New Roman"/>
        </w:rPr>
        <w:tab/>
        <w:t xml:space="preserve">it is </w:t>
      </w:r>
      <w:r w:rsidRPr="00C30BB9">
        <w:rPr>
          <w:rFonts w:cs="Times New Roman"/>
          <w:color w:val="FF0000"/>
          <w:u w:val="single"/>
        </w:rPr>
        <w:t>not</w:t>
      </w:r>
      <w:r w:rsidRPr="00C30BB9">
        <w:rPr>
          <w:rFonts w:cs="Times New Roman"/>
          <w:color w:val="FF0000"/>
        </w:rPr>
        <w:t xml:space="preserve"> </w:t>
      </w:r>
      <w:r w:rsidRPr="0025260C">
        <w:rPr>
          <w:rFonts w:cs="Times New Roman"/>
        </w:rPr>
        <w:t xml:space="preserve">within UL symbols, </w:t>
      </w:r>
      <w:proofErr w:type="spellStart"/>
      <w:r w:rsidRPr="00C30BB9">
        <w:rPr>
          <w:rFonts w:cs="Times New Roman"/>
          <w:strike/>
          <w:color w:val="FF0000"/>
        </w:rPr>
        <w:t>or</w:t>
      </w:r>
      <w:r w:rsidRPr="00C30BB9">
        <w:rPr>
          <w:rFonts w:cs="Times New Roman"/>
          <w:color w:val="FF0000"/>
          <w:u w:val="single"/>
        </w:rPr>
        <w:t>and</w:t>
      </w:r>
      <w:proofErr w:type="spellEnd"/>
      <w:r w:rsidRPr="0025260C">
        <w:rPr>
          <w:rFonts w:cs="Times New Roman"/>
        </w:rPr>
        <w:t xml:space="preserve"> </w:t>
      </w:r>
    </w:p>
    <w:p w14:paraId="3C8BEDB4" w14:textId="77777777" w:rsidR="00C30BB9" w:rsidRPr="00E8742F" w:rsidRDefault="00C30BB9" w:rsidP="00C30BB9">
      <w:pPr>
        <w:pStyle w:val="B1"/>
        <w:spacing w:after="240"/>
      </w:pPr>
      <w:r w:rsidRPr="0025260C">
        <w:rPr>
          <w:rFonts w:cs="Times New Roman"/>
        </w:rPr>
        <w:lastRenderedPageBreak/>
        <w:t>-</w:t>
      </w:r>
      <w:r w:rsidRPr="0025260C">
        <w:rPr>
          <w:rFonts w:cs="Times New Roman"/>
        </w:rPr>
        <w:tab/>
        <w:t xml:space="preserve">it </w:t>
      </w:r>
      <w:r w:rsidRPr="00C30BB9">
        <w:rPr>
          <w:rFonts w:cs="Times New Roman"/>
          <w:strike/>
          <w:color w:val="FF0000"/>
        </w:rPr>
        <w:t xml:space="preserve">does not precede a SS/PBCH block in the PRACH slot and </w:t>
      </w:r>
      <w:r w:rsidRPr="0025260C">
        <w:rPr>
          <w:rFonts w:cs="Times New Roman"/>
        </w:rPr>
        <w:t xml:space="preserve">starts </w:t>
      </w:r>
      <w:r w:rsidRPr="00C30BB9">
        <w:rPr>
          <w:rFonts w:cs="Times New Roman"/>
          <w:strike/>
          <w:color w:val="FF0000"/>
        </w:rPr>
        <w:t xml:space="preserve">at </w:t>
      </w:r>
      <w:proofErr w:type="spellStart"/>
      <w:r w:rsidRPr="00C30BB9">
        <w:rPr>
          <w:rFonts w:cs="Times New Roman"/>
          <w:strike/>
          <w:color w:val="FF0000"/>
        </w:rPr>
        <w:t>least</w:t>
      </w:r>
      <w:r w:rsidRPr="00C30BB9">
        <w:rPr>
          <w:rFonts w:cs="Times New Roman"/>
          <w:color w:val="FF0000"/>
        </w:rPr>
        <w:t>less</w:t>
      </w:r>
      <w:proofErr w:type="spellEnd"/>
      <w:r w:rsidRPr="00C30BB9">
        <w:rPr>
          <w:rFonts w:cs="Times New Roman"/>
          <w:color w:val="FF0000"/>
        </w:rPr>
        <w:t xml:space="preserve"> than </w:t>
      </w:r>
      <w:r w:rsidRPr="0025260C">
        <w:rPr>
          <w:rFonts w:cs="Times New Roman"/>
          <w:noProof/>
          <w:position w:val="-12"/>
          <w:lang w:val="en-GB" w:eastAsia="en-GB"/>
        </w:rPr>
        <w:drawing>
          <wp:inline distT="0" distB="0" distL="0" distR="0" wp14:anchorId="0C3E042C" wp14:editId="4232D4AA">
            <wp:extent cx="266700" cy="2000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25260C">
        <w:rPr>
          <w:rFonts w:cs="Times New Roman"/>
        </w:rPr>
        <w:t xml:space="preserve"> symbols after a last downlink symbol</w:t>
      </w:r>
      <w:r w:rsidRPr="00C30BB9">
        <w:rPr>
          <w:rFonts w:cs="Times New Roman"/>
          <w:strike/>
          <w:color w:val="FF0000"/>
        </w:rPr>
        <w:t xml:space="preserve"> and at least</w:t>
      </w:r>
      <w:r w:rsidRPr="00C30BB9">
        <w:rPr>
          <w:rFonts w:cs="Times New Roman"/>
          <w:strike/>
          <w:noProof/>
          <w:color w:val="FF0000"/>
          <w:position w:val="-12"/>
          <w:lang w:val="en-GB" w:eastAsia="en-GB"/>
        </w:rPr>
        <w:drawing>
          <wp:inline distT="0" distB="0" distL="0" distR="0" wp14:anchorId="33155EF1" wp14:editId="55E80D94">
            <wp:extent cx="276225" cy="2000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30BB9">
        <w:rPr>
          <w:rFonts w:cs="Times New Roman"/>
          <w:strike/>
          <w:color w:val="FF0000"/>
        </w:rPr>
        <w:t xml:space="preserve"> symbols after a last SS/PBCH block transmission symbol</w:t>
      </w:r>
      <w:r w:rsidRPr="0025260C">
        <w:rPr>
          <w:rFonts w:cs="Times New Roman"/>
        </w:rPr>
        <w:t xml:space="preserve">, where </w:t>
      </w:r>
      <w:r w:rsidRPr="0025260C">
        <w:rPr>
          <w:rFonts w:cs="Times New Roman"/>
          <w:noProof/>
          <w:position w:val="-12"/>
          <w:lang w:val="en-GB" w:eastAsia="en-GB"/>
        </w:rPr>
        <w:drawing>
          <wp:inline distT="0" distB="0" distL="0" distR="0" wp14:anchorId="425DD24A" wp14:editId="24592D76">
            <wp:extent cx="266700" cy="2000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25260C">
        <w:rPr>
          <w:rFonts w:cs="Times New Roman"/>
        </w:rPr>
        <w:t xml:space="preserve"> is provided in Table 8.2-2. </w:t>
      </w:r>
    </w:p>
    <w:p w14:paraId="5F2AF166" w14:textId="527DA1DD" w:rsidR="00C30BB9" w:rsidRDefault="00C30BB9" w:rsidP="00C30BB9">
      <w:pPr>
        <w:rPr>
          <w:lang w:val="en-GB" w:eastAsia="ja-JP"/>
        </w:rPr>
      </w:pPr>
      <w:r w:rsidRPr="00673D6E">
        <w:rPr>
          <w:rFonts w:cs="Arial"/>
          <w:color w:val="FF0000"/>
          <w:lang w:val="en-GB" w:eastAsia="ja-JP"/>
        </w:rPr>
        <w:t xml:space="preserve">------------------------------------------------End of </w:t>
      </w:r>
      <w:r w:rsidR="00D0522F">
        <w:rPr>
          <w:rFonts w:cs="Arial"/>
          <w:color w:val="FF0000"/>
          <w:lang w:val="en-GB" w:eastAsia="ja-JP"/>
        </w:rPr>
        <w:t>TP to 38</w:t>
      </w:r>
      <w:r w:rsidRPr="00673D6E">
        <w:rPr>
          <w:rFonts w:cs="Arial"/>
          <w:color w:val="FF0000"/>
          <w:lang w:val="en-GB" w:eastAsia="ja-JP"/>
        </w:rPr>
        <w:t>.213</w:t>
      </w:r>
      <w:r>
        <w:rPr>
          <w:rFonts w:cs="Arial"/>
          <w:color w:val="FF0000"/>
          <w:lang w:val="en-GB" w:eastAsia="ja-JP"/>
        </w:rPr>
        <w:t>, S</w:t>
      </w:r>
      <w:r w:rsidRPr="00673D6E">
        <w:rPr>
          <w:rFonts w:cs="Arial"/>
          <w:color w:val="FF0000"/>
          <w:lang w:val="en-GB" w:eastAsia="ja-JP"/>
        </w:rPr>
        <w:t>ection 8.1 --------------------------------------</w:t>
      </w:r>
    </w:p>
    <w:p w14:paraId="6359CFEB" w14:textId="77777777" w:rsidR="00C30BB9" w:rsidRDefault="00C30BB9" w:rsidP="00C30BB9">
      <w:pPr>
        <w:rPr>
          <w:lang w:val="en-GB" w:eastAsia="ja-JP"/>
        </w:rPr>
      </w:pPr>
    </w:p>
    <w:p w14:paraId="3BC9FC45" w14:textId="2E5AE840" w:rsidR="0042175C" w:rsidRDefault="0042175C" w:rsidP="0042175C">
      <w:pPr>
        <w:pStyle w:val="Heading2"/>
      </w:pPr>
      <w:r>
        <w:t>2.</w:t>
      </w:r>
      <w:r w:rsidR="00307248">
        <w:t>2</w:t>
      </w:r>
      <w:r>
        <w:tab/>
        <w:t>Mapping of SSB</w:t>
      </w:r>
      <w:r w:rsidR="00153BFB">
        <w:t xml:space="preserve">s </w:t>
      </w:r>
      <w:r w:rsidR="00FC6884">
        <w:t xml:space="preserve">Only </w:t>
      </w:r>
      <w:r>
        <w:t xml:space="preserve">to </w:t>
      </w:r>
      <w:r w:rsidR="00153BFB">
        <w:t>V</w:t>
      </w:r>
      <w:r>
        <w:t>alid PRACH Occasion</w:t>
      </w:r>
      <w:r w:rsidR="00153BFB">
        <w:t>s</w:t>
      </w:r>
    </w:p>
    <w:p w14:paraId="78552BD8" w14:textId="7EE7AA0C" w:rsidR="004918B1" w:rsidRDefault="004918B1" w:rsidP="004918B1">
      <w:pPr>
        <w:pStyle w:val="BodyText"/>
      </w:pPr>
      <w:r w:rsidRPr="00E8742F">
        <w:t xml:space="preserve">Currently, </w:t>
      </w:r>
      <w:r w:rsidR="00564B48">
        <w:t xml:space="preserve">3GPP TS </w:t>
      </w:r>
      <w:r w:rsidRPr="00E8742F">
        <w:t xml:space="preserve">38.213 [3] first describes mapping procedure from SSB to PRACH occasion, and then later describes how some of the PRACH occasions are invalidated. This </w:t>
      </w:r>
      <w:r w:rsidR="00287E4D" w:rsidRPr="00E8742F">
        <w:t>gives the impression</w:t>
      </w:r>
      <w:r w:rsidRPr="00E8742F">
        <w:t xml:space="preserve"> that some of the mapped PRACH occasions may be punctured, leaving some SSB without valid mapping. However, only valid PRACH occasions should be considered in the mapping procedure, so that that all SSBs are mapped to some valid PRACH occasion. </w:t>
      </w:r>
      <w:r w:rsidRPr="004918B1">
        <w:t>This needs to be clarified</w:t>
      </w:r>
      <w:r>
        <w:t>.</w:t>
      </w:r>
    </w:p>
    <w:p w14:paraId="7680011D" w14:textId="77777777" w:rsidR="004918B1" w:rsidRDefault="004918B1" w:rsidP="004918B1">
      <w:pPr>
        <w:pStyle w:val="BodyText"/>
      </w:pPr>
    </w:p>
    <w:p w14:paraId="07072D33" w14:textId="77777777" w:rsidR="00CE1DC9" w:rsidRDefault="00CE1DC9" w:rsidP="00CE1DC9">
      <w:pPr>
        <w:pStyle w:val="BodyText"/>
      </w:pPr>
    </w:p>
    <w:p w14:paraId="395DC16A" w14:textId="32C18E96" w:rsidR="00CE1DC9" w:rsidRPr="00E8742F" w:rsidRDefault="00564B48" w:rsidP="00CE1DC9">
      <w:pPr>
        <w:pStyle w:val="Observation"/>
      </w:pPr>
      <w:bookmarkStart w:id="5" w:name="_Toc521707031"/>
      <w:r>
        <w:t xml:space="preserve">3GPP TS </w:t>
      </w:r>
      <w:r w:rsidR="00CE1DC9" w:rsidRPr="00E8742F">
        <w:t xml:space="preserve">38.213 V15.2.0 gives the impression that </w:t>
      </w:r>
      <w:r w:rsidR="00F16F7D" w:rsidRPr="00E8742F">
        <w:t xml:space="preserve">all </w:t>
      </w:r>
      <w:r w:rsidR="00CE1DC9" w:rsidRPr="00E8742F">
        <w:t>PRACH occasions</w:t>
      </w:r>
      <w:r w:rsidR="00F16F7D" w:rsidRPr="00E8742F">
        <w:t>, including invalid ones,</w:t>
      </w:r>
      <w:r w:rsidR="00CE1DC9" w:rsidRPr="00E8742F">
        <w:t xml:space="preserve"> are considered in the mapping procedure from SSBs to PRACH occasions, </w:t>
      </w:r>
      <w:r w:rsidR="0025647E" w:rsidRPr="00E8742F">
        <w:t xml:space="preserve">hence </w:t>
      </w:r>
      <w:r w:rsidR="00CE1DC9" w:rsidRPr="00E8742F">
        <w:t>potentially</w:t>
      </w:r>
      <w:r w:rsidR="0025647E" w:rsidRPr="00E8742F">
        <w:t xml:space="preserve"> leaving some SSBs without valid mapping</w:t>
      </w:r>
      <w:r w:rsidR="00CE1DC9" w:rsidRPr="00E8742F">
        <w:t>.</w:t>
      </w:r>
      <w:bookmarkEnd w:id="5"/>
    </w:p>
    <w:p w14:paraId="5CD1C8B6" w14:textId="77777777" w:rsidR="00CE1DC9" w:rsidRPr="00E8742F" w:rsidRDefault="00CE1DC9" w:rsidP="00CE1DC9">
      <w:pPr>
        <w:pStyle w:val="BodyText"/>
      </w:pPr>
    </w:p>
    <w:p w14:paraId="770DD9B6" w14:textId="5233B776" w:rsidR="00CE1DC9" w:rsidRPr="00E8742F" w:rsidRDefault="00D80593" w:rsidP="00CE1DC9">
      <w:pPr>
        <w:pStyle w:val="Proposal"/>
      </w:pPr>
      <w:bookmarkStart w:id="6" w:name="_Toc521707043"/>
      <w:r w:rsidRPr="00E8742F">
        <w:t xml:space="preserve">Clarify that only valid </w:t>
      </w:r>
      <w:r w:rsidR="00CE1DC9" w:rsidRPr="00E8742F">
        <w:t xml:space="preserve">PRACH occasions </w:t>
      </w:r>
      <w:r w:rsidRPr="00E8742F">
        <w:t xml:space="preserve">are considered in the mapping procedure from SSBs to PRACH. </w:t>
      </w:r>
      <w:r w:rsidR="00C00DA3" w:rsidRPr="00E8742F">
        <w:t>To this end, t</w:t>
      </w:r>
      <w:r w:rsidR="00CE1DC9" w:rsidRPr="00E8742F">
        <w:t xml:space="preserve">he </w:t>
      </w:r>
      <w:r w:rsidR="00E078BD" w:rsidRPr="00E8742F">
        <w:t xml:space="preserve">provided </w:t>
      </w:r>
      <w:r w:rsidR="00CE1DC9" w:rsidRPr="00E8742F">
        <w:t>text proposal for 38.213, Section 8.1, should be adopted.</w:t>
      </w:r>
      <w:bookmarkEnd w:id="6"/>
    </w:p>
    <w:p w14:paraId="552ADB4E" w14:textId="77777777" w:rsidR="00C30BB9" w:rsidRDefault="00C30BB9" w:rsidP="00C30BB9">
      <w:pPr>
        <w:rPr>
          <w:rFonts w:cs="Arial"/>
          <w:color w:val="FF0000"/>
          <w:lang w:val="en-GB" w:eastAsia="ja-JP"/>
        </w:rPr>
      </w:pPr>
    </w:p>
    <w:p w14:paraId="349A424D" w14:textId="74623846" w:rsidR="00C30BB9" w:rsidRDefault="00C30BB9" w:rsidP="00C30BB9">
      <w:pPr>
        <w:rPr>
          <w:lang w:val="en-GB" w:eastAsia="ja-JP"/>
        </w:rPr>
      </w:pPr>
      <w:r w:rsidRPr="00673D6E">
        <w:rPr>
          <w:rFonts w:cs="Arial"/>
          <w:color w:val="FF0000"/>
          <w:lang w:val="en-GB" w:eastAsia="ja-JP"/>
        </w:rPr>
        <w:t>------------------------------------------------</w:t>
      </w:r>
      <w:r>
        <w:rPr>
          <w:rFonts w:cs="Arial"/>
          <w:color w:val="FF0000"/>
          <w:lang w:val="en-GB" w:eastAsia="ja-JP"/>
        </w:rPr>
        <w:t xml:space="preserve"> </w:t>
      </w:r>
      <w:r w:rsidRPr="00673D6E">
        <w:rPr>
          <w:rFonts w:cs="Arial"/>
          <w:color w:val="FF0000"/>
          <w:lang w:val="en-GB" w:eastAsia="ja-JP"/>
        </w:rPr>
        <w:t xml:space="preserve">Start of </w:t>
      </w:r>
      <w:r w:rsidR="00D0522F">
        <w:rPr>
          <w:rFonts w:cs="Arial"/>
          <w:color w:val="FF0000"/>
          <w:lang w:val="en-GB" w:eastAsia="ja-JP"/>
        </w:rPr>
        <w:t>TP to 38</w:t>
      </w:r>
      <w:r w:rsidRPr="00673D6E">
        <w:rPr>
          <w:rFonts w:cs="Arial"/>
          <w:color w:val="FF0000"/>
          <w:lang w:val="en-GB" w:eastAsia="ja-JP"/>
        </w:rPr>
        <w:t>.213</w:t>
      </w:r>
      <w:r>
        <w:rPr>
          <w:rFonts w:cs="Arial"/>
          <w:color w:val="FF0000"/>
          <w:lang w:val="en-GB" w:eastAsia="ja-JP"/>
        </w:rPr>
        <w:t>, Section 8.1 ----------------------------------</w:t>
      </w:r>
    </w:p>
    <w:p w14:paraId="1CEE4D7B" w14:textId="69AB3080" w:rsidR="00C30BB9" w:rsidRPr="0025260C" w:rsidRDefault="00C30BB9" w:rsidP="00C30BB9">
      <w:pPr>
        <w:spacing w:after="240"/>
        <w:rPr>
          <w:rFonts w:ascii="Times New Roman" w:eastAsia="Times New Roman" w:hAnsi="Times New Roman" w:cs="Times New Roman"/>
          <w:szCs w:val="20"/>
        </w:rPr>
      </w:pPr>
      <w:r w:rsidRPr="0025260C">
        <w:rPr>
          <w:rFonts w:ascii="Times New Roman" w:hAnsi="Times New Roman" w:cs="Times New Roman"/>
        </w:rPr>
        <w:t xml:space="preserve">A UE is provided a number </w:t>
      </w:r>
      <w:r w:rsidRPr="0025260C">
        <w:rPr>
          <w:rFonts w:ascii="Times New Roman" w:hAnsi="Times New Roman" w:cs="Times New Roman"/>
          <w:noProof/>
          <w:position w:val="-6"/>
          <w:lang w:eastAsia="en-GB"/>
        </w:rPr>
        <w:drawing>
          <wp:inline distT="0" distB="0" distL="0" distR="0" wp14:anchorId="2E789906" wp14:editId="63934488">
            <wp:extent cx="152400" cy="1524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5260C">
        <w:rPr>
          <w:rFonts w:ascii="Times New Roman" w:hAnsi="Times New Roman" w:cs="Times New Roman"/>
        </w:rPr>
        <w:t xml:space="preserve"> of SS/PBCH blocks associated with one PRACH occasion and a number </w:t>
      </w:r>
      <w:r w:rsidRPr="0025260C">
        <w:rPr>
          <w:rFonts w:ascii="Times New Roman" w:hAnsi="Times New Roman" w:cs="Times New Roman"/>
          <w:noProof/>
          <w:position w:val="-4"/>
          <w:lang w:eastAsia="en-GB"/>
        </w:rPr>
        <w:drawing>
          <wp:inline distT="0" distB="0" distL="0" distR="0" wp14:anchorId="23B90EF1" wp14:editId="0D7EFEDB">
            <wp:extent cx="142875" cy="1428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25260C">
        <w:rPr>
          <w:rFonts w:ascii="Times New Roman" w:hAnsi="Times New Roman" w:cs="Times New Roman"/>
        </w:rPr>
        <w:t xml:space="preserve"> of </w:t>
      </w:r>
      <w:proofErr w:type="gramStart"/>
      <w:r w:rsidRPr="0025260C">
        <w:rPr>
          <w:rFonts w:ascii="Times New Roman" w:hAnsi="Times New Roman" w:cs="Times New Roman"/>
        </w:rPr>
        <w:t>contention based</w:t>
      </w:r>
      <w:proofErr w:type="gramEnd"/>
      <w:r w:rsidRPr="0025260C">
        <w:rPr>
          <w:rFonts w:ascii="Times New Roman" w:hAnsi="Times New Roman" w:cs="Times New Roman"/>
        </w:rPr>
        <w:t xml:space="preserve"> preambles per SS/PBCH block by higher layer parameter </w:t>
      </w:r>
      <w:proofErr w:type="spellStart"/>
      <w:r w:rsidRPr="0025260C">
        <w:rPr>
          <w:rFonts w:ascii="Times New Roman" w:hAnsi="Times New Roman" w:cs="Times New Roman"/>
          <w:i/>
        </w:rPr>
        <w:t>ssb-perRACH-OccasionAndCB-PreamblesPerSSB</w:t>
      </w:r>
      <w:proofErr w:type="spellEnd"/>
      <w:r w:rsidRPr="0025260C">
        <w:rPr>
          <w:rFonts w:ascii="Times New Roman" w:hAnsi="Times New Roman" w:cs="Times New Roman"/>
        </w:rPr>
        <w:t xml:space="preserve">. If </w:t>
      </w:r>
      <w:r w:rsidRPr="0025260C">
        <w:rPr>
          <w:rFonts w:ascii="Times New Roman" w:hAnsi="Times New Roman" w:cs="Times New Roman"/>
          <w:noProof/>
          <w:position w:val="-6"/>
          <w:lang w:eastAsia="en-GB"/>
        </w:rPr>
        <w:drawing>
          <wp:inline distT="0" distB="0" distL="0" distR="0" wp14:anchorId="5C03E016" wp14:editId="1BB8A59A">
            <wp:extent cx="323850" cy="152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r w:rsidRPr="0025260C">
        <w:rPr>
          <w:rFonts w:ascii="Times New Roman" w:hAnsi="Times New Roman" w:cs="Times New Roman"/>
        </w:rPr>
        <w:t xml:space="preserve">, one SS/PBCH block is mapped to </w:t>
      </w:r>
      <w:r w:rsidRPr="0025260C">
        <w:rPr>
          <w:rFonts w:ascii="Times New Roman" w:hAnsi="Times New Roman" w:cs="Times New Roman"/>
          <w:noProof/>
          <w:position w:val="-10"/>
          <w:lang w:eastAsia="en-GB"/>
        </w:rPr>
        <w:drawing>
          <wp:inline distT="0" distB="0" distL="0" distR="0" wp14:anchorId="15B5D738" wp14:editId="7C0E43C0">
            <wp:extent cx="247650" cy="2000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25260C">
        <w:rPr>
          <w:rFonts w:ascii="Times New Roman" w:hAnsi="Times New Roman" w:cs="Times New Roman"/>
        </w:rPr>
        <w:t xml:space="preserve"> consecutive </w:t>
      </w:r>
      <w:r>
        <w:rPr>
          <w:rFonts w:ascii="Times New Roman" w:hAnsi="Times New Roman" w:cs="Times New Roman"/>
          <w:color w:val="FF0000"/>
          <w:u w:val="single"/>
        </w:rPr>
        <w:t xml:space="preserve">valid </w:t>
      </w:r>
      <w:r w:rsidRPr="0025260C">
        <w:rPr>
          <w:rFonts w:ascii="Times New Roman" w:hAnsi="Times New Roman" w:cs="Times New Roman"/>
        </w:rPr>
        <w:t xml:space="preserve">PRACH occasions. If </w:t>
      </w:r>
      <w:r w:rsidRPr="0025260C">
        <w:rPr>
          <w:rFonts w:ascii="Times New Roman" w:hAnsi="Times New Roman" w:cs="Times New Roman"/>
          <w:noProof/>
          <w:position w:val="-6"/>
          <w:lang w:eastAsia="en-GB"/>
        </w:rPr>
        <w:drawing>
          <wp:inline distT="0" distB="0" distL="0" distR="0" wp14:anchorId="4A4A16BC" wp14:editId="1756F90D">
            <wp:extent cx="323850" cy="152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r w:rsidRPr="0025260C">
        <w:rPr>
          <w:rFonts w:ascii="Times New Roman" w:hAnsi="Times New Roman" w:cs="Times New Roman"/>
        </w:rPr>
        <w:t xml:space="preserve">, </w:t>
      </w:r>
      <w:r w:rsidRPr="0025260C">
        <w:rPr>
          <w:rFonts w:ascii="Times New Roman" w:hAnsi="Times New Roman" w:cs="Times New Roman"/>
          <w:noProof/>
          <w:position w:val="-4"/>
          <w:lang w:eastAsia="en-GB"/>
        </w:rPr>
        <w:drawing>
          <wp:inline distT="0" distB="0" distL="0" distR="0" wp14:anchorId="7E9D1786" wp14:editId="6B9C6B89">
            <wp:extent cx="142875" cy="1428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25260C">
        <w:rPr>
          <w:rFonts w:ascii="Times New Roman" w:hAnsi="Times New Roman" w:cs="Times New Roman"/>
        </w:rPr>
        <w:t xml:space="preserve"> </w:t>
      </w:r>
      <w:proofErr w:type="gramStart"/>
      <w:r w:rsidRPr="0025260C">
        <w:rPr>
          <w:rFonts w:ascii="Times New Roman" w:hAnsi="Times New Roman" w:cs="Times New Roman"/>
        </w:rPr>
        <w:t>contention based</w:t>
      </w:r>
      <w:proofErr w:type="gramEnd"/>
      <w:r w:rsidRPr="0025260C">
        <w:rPr>
          <w:rFonts w:ascii="Times New Roman" w:hAnsi="Times New Roman" w:cs="Times New Roman"/>
        </w:rPr>
        <w:t xml:space="preserve"> preambles with consecutive indexes associated with SS/PBCH block </w:t>
      </w:r>
      <w:r w:rsidRPr="0025260C">
        <w:rPr>
          <w:rFonts w:ascii="Times New Roman" w:hAnsi="Times New Roman" w:cs="Times New Roman"/>
          <w:noProof/>
          <w:position w:val="-6"/>
          <w:lang w:eastAsia="en-GB"/>
        </w:rPr>
        <w:drawing>
          <wp:inline distT="0" distB="0" distL="0" distR="0" wp14:anchorId="6AD64A59" wp14:editId="39EF219B">
            <wp:extent cx="123825" cy="1238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25260C">
        <w:rPr>
          <w:rFonts w:ascii="Times New Roman" w:hAnsi="Times New Roman" w:cs="Times New Roman"/>
        </w:rPr>
        <w:t xml:space="preserve">, </w:t>
      </w:r>
      <w:r w:rsidRPr="0025260C">
        <w:rPr>
          <w:rFonts w:ascii="Times New Roman" w:hAnsi="Times New Roman" w:cs="Times New Roman"/>
          <w:noProof/>
          <w:position w:val="-6"/>
          <w:lang w:eastAsia="en-GB"/>
        </w:rPr>
        <w:drawing>
          <wp:inline distT="0" distB="0" distL="0" distR="0" wp14:anchorId="25E91918" wp14:editId="7A7462C4">
            <wp:extent cx="685800" cy="1619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85800" cy="161925"/>
                    </a:xfrm>
                    <a:prstGeom prst="rect">
                      <a:avLst/>
                    </a:prstGeom>
                    <a:noFill/>
                    <a:ln>
                      <a:noFill/>
                    </a:ln>
                  </pic:spPr>
                </pic:pic>
              </a:graphicData>
            </a:graphic>
          </wp:inline>
        </w:drawing>
      </w:r>
      <w:r w:rsidRPr="0025260C">
        <w:rPr>
          <w:rFonts w:ascii="Times New Roman" w:hAnsi="Times New Roman" w:cs="Times New Roman"/>
        </w:rPr>
        <w:t xml:space="preserve">, per </w:t>
      </w:r>
      <w:r w:rsidRPr="00C30BB9">
        <w:rPr>
          <w:rFonts w:ascii="Times New Roman" w:hAnsi="Times New Roman" w:cs="Times New Roman"/>
          <w:color w:val="FF0000"/>
          <w:u w:val="single"/>
        </w:rPr>
        <w:t>valid</w:t>
      </w:r>
      <w:r>
        <w:rPr>
          <w:rFonts w:ascii="Times New Roman" w:hAnsi="Times New Roman" w:cs="Times New Roman"/>
          <w:color w:val="FF0000"/>
          <w:u w:val="single"/>
        </w:rPr>
        <w:t xml:space="preserve"> </w:t>
      </w:r>
      <w:r w:rsidRPr="0025260C">
        <w:rPr>
          <w:rFonts w:ascii="Times New Roman" w:hAnsi="Times New Roman" w:cs="Times New Roman"/>
        </w:rPr>
        <w:t xml:space="preserve">PRACH occasion start from preamble index </w:t>
      </w:r>
      <w:r w:rsidRPr="0025260C">
        <w:rPr>
          <w:rFonts w:ascii="Times New Roman" w:hAnsi="Times New Roman" w:cs="Times New Roman"/>
          <w:noProof/>
          <w:position w:val="-10"/>
          <w:lang w:eastAsia="en-GB"/>
        </w:rPr>
        <w:drawing>
          <wp:inline distT="0" distB="0" distL="0" distR="0" wp14:anchorId="5DFDEA1E" wp14:editId="710B76E8">
            <wp:extent cx="466725" cy="2000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25260C">
        <w:rPr>
          <w:rFonts w:ascii="Times New Roman" w:hAnsi="Times New Roman" w:cs="Times New Roman"/>
        </w:rPr>
        <w:t xml:space="preserve">. SS/PBCH block indexes are mapped to </w:t>
      </w:r>
      <w:r w:rsidRPr="00C30BB9">
        <w:rPr>
          <w:rFonts w:ascii="Times New Roman" w:hAnsi="Times New Roman" w:cs="Times New Roman"/>
          <w:color w:val="FF0000"/>
          <w:u w:val="single"/>
        </w:rPr>
        <w:t>valid</w:t>
      </w:r>
      <w:r w:rsidRPr="00C30BB9">
        <w:rPr>
          <w:rFonts w:ascii="Times New Roman" w:hAnsi="Times New Roman" w:cs="Times New Roman"/>
          <w:color w:val="FF0000"/>
        </w:rPr>
        <w:t xml:space="preserve"> </w:t>
      </w:r>
      <w:r w:rsidRPr="0025260C">
        <w:rPr>
          <w:rFonts w:ascii="Times New Roman" w:hAnsi="Times New Roman" w:cs="Times New Roman"/>
        </w:rPr>
        <w:t>PRACH occasions in the following order where the parameters are described in [4, TS 38.211].</w:t>
      </w:r>
    </w:p>
    <w:p w14:paraId="7D1F226D" w14:textId="1847A0EB" w:rsidR="00C30BB9" w:rsidRDefault="00C30BB9" w:rsidP="00C30BB9">
      <w:pPr>
        <w:rPr>
          <w:lang w:val="en-GB" w:eastAsia="ja-JP"/>
        </w:rPr>
      </w:pPr>
      <w:r w:rsidRPr="00673D6E">
        <w:rPr>
          <w:rFonts w:cs="Arial"/>
          <w:color w:val="FF0000"/>
          <w:lang w:val="en-GB" w:eastAsia="ja-JP"/>
        </w:rPr>
        <w:t xml:space="preserve">------------------------------------------------End of </w:t>
      </w:r>
      <w:r w:rsidR="00D0522F">
        <w:rPr>
          <w:rFonts w:cs="Arial"/>
          <w:color w:val="FF0000"/>
          <w:lang w:val="en-GB" w:eastAsia="ja-JP"/>
        </w:rPr>
        <w:t>TP to 38</w:t>
      </w:r>
      <w:r w:rsidRPr="00673D6E">
        <w:rPr>
          <w:rFonts w:cs="Arial"/>
          <w:color w:val="FF0000"/>
          <w:lang w:val="en-GB" w:eastAsia="ja-JP"/>
        </w:rPr>
        <w:t>.213</w:t>
      </w:r>
      <w:r>
        <w:rPr>
          <w:rFonts w:cs="Arial"/>
          <w:color w:val="FF0000"/>
          <w:lang w:val="en-GB" w:eastAsia="ja-JP"/>
        </w:rPr>
        <w:t>, S</w:t>
      </w:r>
      <w:r w:rsidRPr="00673D6E">
        <w:rPr>
          <w:rFonts w:cs="Arial"/>
          <w:color w:val="FF0000"/>
          <w:lang w:val="en-GB" w:eastAsia="ja-JP"/>
        </w:rPr>
        <w:t>ection 8.1 --------------------------------------</w:t>
      </w:r>
    </w:p>
    <w:p w14:paraId="7D33503D" w14:textId="77777777" w:rsidR="00C30BB9" w:rsidRDefault="00C30BB9" w:rsidP="00213D2B">
      <w:pPr>
        <w:rPr>
          <w:lang w:val="en-GB" w:eastAsia="ja-JP"/>
        </w:rPr>
      </w:pPr>
    </w:p>
    <w:p w14:paraId="0F685C1E" w14:textId="3819F872" w:rsidR="009E2E90" w:rsidRDefault="009E2E90" w:rsidP="009E2E90">
      <w:pPr>
        <w:pStyle w:val="Heading2"/>
      </w:pPr>
      <w:r>
        <w:t xml:space="preserve">2.3 </w:t>
      </w:r>
      <w:r>
        <w:tab/>
        <w:t>Timing advance</w:t>
      </w:r>
    </w:p>
    <w:p w14:paraId="575CFFE9" w14:textId="453FEFA8" w:rsidR="009E2E90" w:rsidRDefault="009E2E90" w:rsidP="009E2E90">
      <w:pPr>
        <w:rPr>
          <w:lang w:val="en-GB" w:eastAsia="ja-JP"/>
        </w:rPr>
      </w:pPr>
      <w:r>
        <w:rPr>
          <w:lang w:val="en-GB" w:eastAsia="ja-JP"/>
        </w:rPr>
        <w:t>In Section 4.2 of 38.213</w:t>
      </w:r>
      <w:r w:rsidR="00DB4D7D">
        <w:rPr>
          <w:lang w:val="en-GB" w:eastAsia="ja-JP"/>
        </w:rPr>
        <w:t xml:space="preserve"> v15.2.0 </w:t>
      </w:r>
      <w:r w:rsidR="00DB4D7D">
        <w:rPr>
          <w:lang w:val="en-GB" w:eastAsia="ja-JP"/>
        </w:rPr>
        <w:fldChar w:fldCharType="begin"/>
      </w:r>
      <w:r w:rsidR="00DB4D7D">
        <w:rPr>
          <w:lang w:val="en-GB" w:eastAsia="ja-JP"/>
        </w:rPr>
        <w:instrText xml:space="preserve"> REF _Ref521404802 \r \h </w:instrText>
      </w:r>
      <w:r w:rsidR="00DB4D7D">
        <w:rPr>
          <w:lang w:val="en-GB" w:eastAsia="ja-JP"/>
        </w:rPr>
      </w:r>
      <w:r w:rsidR="00DB4D7D">
        <w:rPr>
          <w:lang w:val="en-GB" w:eastAsia="ja-JP"/>
        </w:rPr>
        <w:fldChar w:fldCharType="separate"/>
      </w:r>
      <w:r w:rsidR="00CF6FC6">
        <w:rPr>
          <w:lang w:val="en-GB" w:eastAsia="ja-JP"/>
        </w:rPr>
        <w:t>[1]</w:t>
      </w:r>
      <w:r w:rsidR="00DB4D7D">
        <w:rPr>
          <w:lang w:val="en-GB" w:eastAsia="ja-JP"/>
        </w:rPr>
        <w:fldChar w:fldCharType="end"/>
      </w:r>
      <w:r>
        <w:rPr>
          <w:lang w:val="en-GB" w:eastAsia="ja-JP"/>
        </w:rPr>
        <w:t>, the following is written regarding the timing advance command</w:t>
      </w:r>
    </w:p>
    <w:p w14:paraId="60F07F0B" w14:textId="43ABA672" w:rsidR="009E2E90" w:rsidRDefault="00B27564" w:rsidP="009E2E90">
      <w:pPr>
        <w:rPr>
          <w:rFonts w:ascii="Calibri" w:eastAsia="Times New Roman" w:hAnsi="Calibri" w:cs="Calibri"/>
        </w:rPr>
      </w:pPr>
      <w:r>
        <w:t xml:space="preserve">In </w:t>
      </w:r>
      <w:r w:rsidR="009E2E90">
        <w:t>38.213</w:t>
      </w:r>
      <w:r>
        <w:t xml:space="preserve"> v15.2.0</w:t>
      </w:r>
      <w:r w:rsidR="009E2E90">
        <w:t xml:space="preserve"> section 4.2</w:t>
      </w:r>
      <w:r>
        <w:t xml:space="preserve">, </w:t>
      </w:r>
    </w:p>
    <w:p w14:paraId="0546AA2F" w14:textId="0B3735A9" w:rsidR="009E2E90" w:rsidRPr="00E8742F" w:rsidRDefault="009E2E90" w:rsidP="009E2E90">
      <w:pPr>
        <w:pStyle w:val="B1"/>
      </w:pPr>
      <w:r w:rsidRPr="00E8742F">
        <w:t xml:space="preserve">For a timing advance command received on </w:t>
      </w:r>
      <w:r w:rsidRPr="00E8742F">
        <w:rPr>
          <w:highlight w:val="yellow"/>
        </w:rPr>
        <w:t>uplink</w:t>
      </w:r>
      <w:r w:rsidRPr="00E8742F">
        <w:t xml:space="preserve"> slot </w:t>
      </w:r>
      <w:r>
        <w:rPr>
          <w:rFonts w:eastAsia="Times New Roman" w:cs="Times New Roman"/>
          <w:position w:val="-6"/>
          <w:szCs w:val="20"/>
          <w:lang w:val="en-GB" w:eastAsia="en-US"/>
        </w:rPr>
        <w:object w:dxaOrig="180" w:dyaOrig="210" w14:anchorId="13891D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0.5pt" o:ole="">
            <v:imagedata r:id="rId18" o:title=""/>
          </v:shape>
          <o:OLEObject Type="Embed" ProgID="Equation.3" ShapeID="_x0000_i1025" DrawAspect="Content" ObjectID="_1595452231" r:id="rId19"/>
        </w:object>
      </w:r>
      <w:r w:rsidRPr="00E8742F">
        <w:t xml:space="preserve">, the corresponding adjustment of the uplink transmission timing applies from the beginning of </w:t>
      </w:r>
      <w:r w:rsidRPr="00E8742F">
        <w:rPr>
          <w:highlight w:val="yellow"/>
        </w:rPr>
        <w:t>uplink</w:t>
      </w:r>
      <w:r w:rsidRPr="00E8742F">
        <w:t xml:space="preserve"> slot </w:t>
      </w:r>
      <w:r>
        <w:rPr>
          <w:noProof/>
          <w:position w:val="-6"/>
          <w:lang w:eastAsia="en-GB"/>
        </w:rPr>
        <w:drawing>
          <wp:inline distT="0" distB="0" distL="0" distR="0" wp14:anchorId="0E4BB9D9" wp14:editId="4C09F6A1">
            <wp:extent cx="286385" cy="15113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385" cy="151130"/>
                    </a:xfrm>
                    <a:prstGeom prst="rect">
                      <a:avLst/>
                    </a:prstGeom>
                    <a:noFill/>
                    <a:ln>
                      <a:noFill/>
                    </a:ln>
                  </pic:spPr>
                </pic:pic>
              </a:graphicData>
            </a:graphic>
          </wp:inline>
        </w:drawing>
      </w:r>
      <w:r w:rsidRPr="00E8742F">
        <w:t xml:space="preserve"> where </w:t>
      </w:r>
      <w:r>
        <w:rPr>
          <w:rFonts w:eastAsia="Times New Roman" w:cs="Times New Roman"/>
          <w:position w:val="-12"/>
          <w:szCs w:val="20"/>
          <w:lang w:val="en-GB" w:eastAsia="en-US"/>
        </w:rPr>
        <w:object w:dxaOrig="3750" w:dyaOrig="420" w14:anchorId="0A257867">
          <v:shape id="_x0000_i1026" type="#_x0000_t75" style="width:186.75pt;height:21pt" o:ole="">
            <v:imagedata r:id="rId21" o:title=""/>
          </v:shape>
          <o:OLEObject Type="Embed" ProgID="Equation.3" ShapeID="_x0000_i1026" DrawAspect="Content" ObjectID="_1595452232" r:id="rId22"/>
        </w:object>
      </w:r>
      <w:r w:rsidRPr="00E8742F">
        <w:t xml:space="preserve">, </w:t>
      </w:r>
      <w:r>
        <w:rPr>
          <w:noProof/>
          <w:position w:val="-12"/>
          <w:lang w:eastAsia="en-GB"/>
        </w:rPr>
        <w:drawing>
          <wp:inline distT="0" distB="0" distL="0" distR="0" wp14:anchorId="5A88AE3B" wp14:editId="1F7449AC">
            <wp:extent cx="270510" cy="1987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510" cy="198755"/>
                    </a:xfrm>
                    <a:prstGeom prst="rect">
                      <a:avLst/>
                    </a:prstGeom>
                    <a:noFill/>
                    <a:ln>
                      <a:noFill/>
                    </a:ln>
                  </pic:spPr>
                </pic:pic>
              </a:graphicData>
            </a:graphic>
          </wp:inline>
        </w:drawing>
      </w:r>
      <w:r w:rsidRPr="00E8742F">
        <w:t xml:space="preserve"> is a time duration of </w:t>
      </w:r>
      <w:r>
        <w:rPr>
          <w:noProof/>
          <w:position w:val="-10"/>
          <w:lang w:eastAsia="en-GB"/>
        </w:rPr>
        <w:drawing>
          <wp:inline distT="0" distB="0" distL="0" distR="0" wp14:anchorId="4890EAB8" wp14:editId="08ABD450">
            <wp:extent cx="191135" cy="1987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1135" cy="198755"/>
                    </a:xfrm>
                    <a:prstGeom prst="rect">
                      <a:avLst/>
                    </a:prstGeom>
                    <a:noFill/>
                    <a:ln>
                      <a:noFill/>
                    </a:ln>
                  </pic:spPr>
                </pic:pic>
              </a:graphicData>
            </a:graphic>
          </wp:inline>
        </w:drawing>
      </w:r>
      <w:r w:rsidRPr="00E8742F">
        <w:t xml:space="preserve"> symbols corresponding to a PDSCH reception time for PDSCH processing capability 1 when additional PDSCH DM-RS is configured, </w:t>
      </w:r>
      <w:r>
        <w:rPr>
          <w:noProof/>
          <w:position w:val="-12"/>
          <w:lang w:eastAsia="en-GB"/>
        </w:rPr>
        <w:drawing>
          <wp:inline distT="0" distB="0" distL="0" distR="0" wp14:anchorId="7A897426" wp14:editId="3190366E">
            <wp:extent cx="270510" cy="198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510" cy="198755"/>
                    </a:xfrm>
                    <a:prstGeom prst="rect">
                      <a:avLst/>
                    </a:prstGeom>
                    <a:noFill/>
                    <a:ln>
                      <a:noFill/>
                    </a:ln>
                  </pic:spPr>
                </pic:pic>
              </a:graphicData>
            </a:graphic>
          </wp:inline>
        </w:drawing>
      </w:r>
      <w:r w:rsidRPr="00E8742F">
        <w:t xml:space="preserve"> is a time duration of </w:t>
      </w:r>
      <w:r>
        <w:rPr>
          <w:noProof/>
          <w:position w:val="-10"/>
          <w:lang w:eastAsia="en-GB"/>
        </w:rPr>
        <w:drawing>
          <wp:inline distT="0" distB="0" distL="0" distR="0" wp14:anchorId="0639D7CF" wp14:editId="3E335DA2">
            <wp:extent cx="191135" cy="1987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1135" cy="198755"/>
                    </a:xfrm>
                    <a:prstGeom prst="rect">
                      <a:avLst/>
                    </a:prstGeom>
                    <a:noFill/>
                    <a:ln>
                      <a:noFill/>
                    </a:ln>
                  </pic:spPr>
                </pic:pic>
              </a:graphicData>
            </a:graphic>
          </wp:inline>
        </w:drawing>
      </w:r>
      <w:r w:rsidRPr="00E8742F">
        <w:t xml:space="preserve"> symbols corresponding to a PUSCH</w:t>
      </w:r>
    </w:p>
    <w:p w14:paraId="215E4DA8" w14:textId="7D04D96B" w:rsidR="009E2E90" w:rsidRPr="00490190" w:rsidRDefault="00CE5CD3" w:rsidP="009E2E90">
      <w:pPr>
        <w:rPr>
          <w:rFonts w:cs="Arial"/>
        </w:rPr>
      </w:pPr>
      <w:r w:rsidRPr="00490190">
        <w:rPr>
          <w:rFonts w:cs="Arial"/>
        </w:rPr>
        <w:t>However,</w:t>
      </w:r>
      <w:r w:rsidR="009E2E90" w:rsidRPr="00490190">
        <w:rPr>
          <w:rFonts w:cs="Arial"/>
        </w:rPr>
        <w:t xml:space="preserve"> the </w:t>
      </w:r>
      <w:r w:rsidRPr="00490190">
        <w:rPr>
          <w:rFonts w:cs="Arial"/>
        </w:rPr>
        <w:t xml:space="preserve">first </w:t>
      </w:r>
      <w:r w:rsidR="009E2E90" w:rsidRPr="00490190">
        <w:rPr>
          <w:rFonts w:cs="Arial"/>
        </w:rPr>
        <w:t xml:space="preserve">highlighted “uplink” in yellow is a typo and should be either “downlink” as the TA is received in a downlink slot. If numbering of slots is the same on UL and DL, then it is not even necessary to explicitly write as uplink or downlink. </w:t>
      </w:r>
    </w:p>
    <w:p w14:paraId="734E7672" w14:textId="722D4607" w:rsidR="009E2E90" w:rsidRPr="00E8742F" w:rsidRDefault="009E2E90" w:rsidP="009E2E90">
      <w:r w:rsidRPr="00E8742F">
        <w:t>The following agreement was made in RAN1#93</w:t>
      </w:r>
    </w:p>
    <w:p w14:paraId="0D51FCAE" w14:textId="5E0FC667" w:rsidR="00155606" w:rsidRPr="00E8742F" w:rsidRDefault="00155606" w:rsidP="0050739C">
      <w:pPr>
        <w:pStyle w:val="B1"/>
      </w:pPr>
      <w:r w:rsidRPr="00E8742F">
        <w:t xml:space="preserve">For a TA command in MAC-CE received on slot n, the corresponding adjustment of the uplink transmission timing shall apply from the beginning of slot m, where slot m is determined starting from the end of slot n with an additional offset of </w:t>
      </w:r>
      <w:proofErr w:type="gramStart"/>
      <w:r w:rsidRPr="00E8742F">
        <w:t>ceil(</w:t>
      </w:r>
      <w:proofErr w:type="gramEnd"/>
      <w:r w:rsidRPr="00E8742F">
        <w:t xml:space="preserve">(duration of N1 + L2 + duration of N2 + </w:t>
      </w:r>
      <w:proofErr w:type="spellStart"/>
      <w:r w:rsidRPr="00E8742F">
        <w:t>TA_max</w:t>
      </w:r>
      <w:proofErr w:type="spellEnd"/>
      <w:r w:rsidRPr="00E8742F">
        <w:t>)/</w:t>
      </w:r>
      <w:proofErr w:type="spellStart"/>
      <w:r w:rsidRPr="00E8742F">
        <w:t>slot_duration</w:t>
      </w:r>
      <w:proofErr w:type="spellEnd"/>
      <w:r w:rsidRPr="00E8742F">
        <w:t>) and where</w:t>
      </w:r>
      <w:r w:rsidR="0050739C" w:rsidRPr="00E8742F">
        <w:t xml:space="preserve"> …</w:t>
      </w:r>
    </w:p>
    <w:p w14:paraId="3E064D57" w14:textId="03FAB97E" w:rsidR="009E2E90" w:rsidRPr="00E8742F" w:rsidRDefault="009E2E90" w:rsidP="009E2E90">
      <w:pPr>
        <w:rPr>
          <w:lang w:eastAsia="ja-JP"/>
        </w:rPr>
      </w:pPr>
      <w:r w:rsidRPr="00E8742F">
        <w:rPr>
          <w:lang w:eastAsia="ja-JP"/>
        </w:rPr>
        <w:t xml:space="preserve">As can be seen from the above agreement, there is no explicit mention of uplink or downlink slot </w:t>
      </w:r>
      <w:r w:rsidR="00CE5CD3" w:rsidRPr="00E8742F">
        <w:rPr>
          <w:lang w:eastAsia="ja-JP"/>
        </w:rPr>
        <w:t xml:space="preserve">before n </w:t>
      </w:r>
      <w:r w:rsidR="00840D00" w:rsidRPr="00E8742F">
        <w:rPr>
          <w:lang w:eastAsia="ja-JP"/>
        </w:rPr>
        <w:t>and</w:t>
      </w:r>
      <w:r w:rsidR="00CE5CD3" w:rsidRPr="00E8742F">
        <w:rPr>
          <w:lang w:eastAsia="ja-JP"/>
        </w:rPr>
        <w:t xml:space="preserve"> before the slot </w:t>
      </w:r>
      <w:proofErr w:type="spellStart"/>
      <w:r w:rsidR="00CE5CD3" w:rsidRPr="00E8742F">
        <w:rPr>
          <w:lang w:eastAsia="ja-JP"/>
        </w:rPr>
        <w:t>n+k</w:t>
      </w:r>
      <w:proofErr w:type="spellEnd"/>
      <w:r w:rsidR="00CE5CD3" w:rsidRPr="00E8742F">
        <w:rPr>
          <w:lang w:eastAsia="ja-JP"/>
        </w:rPr>
        <w:t xml:space="preserve">. </w:t>
      </w:r>
    </w:p>
    <w:p w14:paraId="001E0CD9" w14:textId="4F6AE082" w:rsidR="00C30BB9" w:rsidRDefault="00CE5CD3" w:rsidP="00CE5CD3">
      <w:pPr>
        <w:pStyle w:val="Proposal"/>
      </w:pPr>
      <w:bookmarkStart w:id="7" w:name="_Toc521707044"/>
      <w:r w:rsidRPr="00E8742F">
        <w:t>Remove the word “uplink” before ‘slot n’ and before slot ‘</w:t>
      </w:r>
      <w:proofErr w:type="spellStart"/>
      <w:r w:rsidRPr="00E8742F">
        <w:t>n+k</w:t>
      </w:r>
      <w:proofErr w:type="spellEnd"/>
      <w:r w:rsidRPr="00E8742F">
        <w:t>’ as the numbering of the slots is the same on UL and DL and it is not necessary to explicitly write it as uplink and downlink. This is in line with the agreements from RAN1#93. A corresponding TP is provided.</w:t>
      </w:r>
      <w:bookmarkEnd w:id="7"/>
    </w:p>
    <w:p w14:paraId="277BBEF4" w14:textId="77777777" w:rsidR="00C30BB9" w:rsidRDefault="00C30BB9" w:rsidP="00C30BB9">
      <w:pPr>
        <w:rPr>
          <w:rFonts w:cs="Arial"/>
          <w:color w:val="FF0000"/>
          <w:lang w:val="en-GB" w:eastAsia="ja-JP"/>
        </w:rPr>
      </w:pPr>
    </w:p>
    <w:p w14:paraId="07AAC6A6" w14:textId="5B015359" w:rsidR="00C30BB9" w:rsidRDefault="00C30BB9" w:rsidP="00C30BB9">
      <w:pPr>
        <w:rPr>
          <w:rFonts w:cs="Arial"/>
          <w:color w:val="FF0000"/>
          <w:lang w:val="en-GB" w:eastAsia="ja-JP"/>
        </w:rPr>
      </w:pPr>
      <w:r w:rsidRPr="00673D6E">
        <w:rPr>
          <w:rFonts w:cs="Arial"/>
          <w:color w:val="FF0000"/>
          <w:lang w:val="en-GB" w:eastAsia="ja-JP"/>
        </w:rPr>
        <w:t>------------------------------------------------</w:t>
      </w:r>
      <w:r>
        <w:rPr>
          <w:rFonts w:cs="Arial"/>
          <w:color w:val="FF0000"/>
          <w:lang w:val="en-GB" w:eastAsia="ja-JP"/>
        </w:rPr>
        <w:t xml:space="preserve"> </w:t>
      </w:r>
      <w:r w:rsidRPr="00673D6E">
        <w:rPr>
          <w:rFonts w:cs="Arial"/>
          <w:color w:val="FF0000"/>
          <w:lang w:val="en-GB" w:eastAsia="ja-JP"/>
        </w:rPr>
        <w:t xml:space="preserve">Start of TP </w:t>
      </w:r>
      <w:r w:rsidR="00D0522F">
        <w:rPr>
          <w:rFonts w:cs="Arial"/>
          <w:color w:val="FF0000"/>
          <w:lang w:val="en-GB" w:eastAsia="ja-JP"/>
        </w:rPr>
        <w:t>to</w:t>
      </w:r>
      <w:r>
        <w:rPr>
          <w:rFonts w:cs="Arial"/>
          <w:color w:val="FF0000"/>
          <w:lang w:val="en-GB" w:eastAsia="ja-JP"/>
        </w:rPr>
        <w:t xml:space="preserve"> </w:t>
      </w:r>
      <w:r w:rsidRPr="00673D6E">
        <w:rPr>
          <w:rFonts w:cs="Arial"/>
          <w:color w:val="FF0000"/>
          <w:lang w:val="en-GB" w:eastAsia="ja-JP"/>
        </w:rPr>
        <w:t>38.213</w:t>
      </w:r>
      <w:r>
        <w:rPr>
          <w:rFonts w:cs="Arial"/>
          <w:color w:val="FF0000"/>
          <w:lang w:val="en-GB" w:eastAsia="ja-JP"/>
        </w:rPr>
        <w:t>, Section 4.2 ----------------------------------</w:t>
      </w:r>
    </w:p>
    <w:p w14:paraId="3D938813" w14:textId="77777777" w:rsidR="00C30BB9" w:rsidRPr="0025260C" w:rsidRDefault="00C30BB9" w:rsidP="00C30BB9">
      <w:pPr>
        <w:rPr>
          <w:rFonts w:ascii="Times New Roman" w:hAnsi="Times New Roman" w:cs="Times New Roman"/>
          <w:lang w:val="en-GB" w:eastAsia="ja-JP"/>
        </w:rPr>
      </w:pPr>
      <w:r w:rsidRPr="0025260C">
        <w:rPr>
          <w:rFonts w:ascii="Times New Roman" w:hAnsi="Times New Roman" w:cs="Times New Roman"/>
        </w:rPr>
        <w:t xml:space="preserve">For a timing advance command received on </w:t>
      </w:r>
      <w:r w:rsidRPr="00C30BB9">
        <w:rPr>
          <w:rFonts w:ascii="Times New Roman" w:hAnsi="Times New Roman" w:cs="Times New Roman"/>
          <w:strike/>
          <w:color w:val="FF0000"/>
        </w:rPr>
        <w:t>uplink</w:t>
      </w:r>
      <w:r w:rsidRPr="00C30BB9">
        <w:rPr>
          <w:rFonts w:ascii="Times New Roman" w:hAnsi="Times New Roman" w:cs="Times New Roman"/>
          <w:color w:val="FF0000"/>
        </w:rPr>
        <w:t xml:space="preserve"> </w:t>
      </w:r>
      <w:r w:rsidRPr="0025260C">
        <w:rPr>
          <w:rFonts w:ascii="Times New Roman" w:hAnsi="Times New Roman" w:cs="Times New Roman"/>
        </w:rPr>
        <w:t xml:space="preserve">slot </w:t>
      </w:r>
      <w:r w:rsidRPr="0025260C">
        <w:rPr>
          <w:rFonts w:ascii="Times New Roman" w:eastAsia="Times New Roman" w:hAnsi="Times New Roman" w:cs="Times New Roman"/>
          <w:position w:val="-6"/>
          <w:szCs w:val="20"/>
          <w:lang w:val="en-GB"/>
        </w:rPr>
        <w:object w:dxaOrig="180" w:dyaOrig="210" w14:anchorId="20AEE093">
          <v:shape id="_x0000_i1037" type="#_x0000_t75" style="width:9pt;height:10.5pt" o:ole="">
            <v:imagedata r:id="rId18" o:title=""/>
          </v:shape>
          <o:OLEObject Type="Embed" ProgID="Equation.3" ShapeID="_x0000_i1037" DrawAspect="Content" ObjectID="_1595452233" r:id="rId27"/>
        </w:object>
      </w:r>
      <w:r w:rsidRPr="0025260C">
        <w:rPr>
          <w:rFonts w:ascii="Times New Roman" w:hAnsi="Times New Roman" w:cs="Times New Roman"/>
        </w:rPr>
        <w:t xml:space="preserve">, the corresponding adjustment of the uplink transmission timing applies from the beginning of </w:t>
      </w:r>
      <w:r w:rsidRPr="00C30BB9">
        <w:rPr>
          <w:rFonts w:ascii="Times New Roman" w:hAnsi="Times New Roman" w:cs="Times New Roman"/>
          <w:strike/>
          <w:color w:val="FF0000"/>
        </w:rPr>
        <w:t xml:space="preserve">uplink </w:t>
      </w:r>
      <w:r w:rsidRPr="0025260C">
        <w:rPr>
          <w:rFonts w:ascii="Times New Roman" w:hAnsi="Times New Roman" w:cs="Times New Roman"/>
        </w:rPr>
        <w:t xml:space="preserve">slot </w:t>
      </w:r>
      <w:r w:rsidRPr="0025260C">
        <w:rPr>
          <w:rFonts w:ascii="Times New Roman" w:hAnsi="Times New Roman" w:cs="Times New Roman"/>
          <w:noProof/>
          <w:position w:val="-6"/>
          <w:lang w:eastAsia="en-GB"/>
        </w:rPr>
        <w:drawing>
          <wp:inline distT="0" distB="0" distL="0" distR="0" wp14:anchorId="00C8D9BA" wp14:editId="3455558A">
            <wp:extent cx="286385" cy="1511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385" cy="151130"/>
                    </a:xfrm>
                    <a:prstGeom prst="rect">
                      <a:avLst/>
                    </a:prstGeom>
                    <a:noFill/>
                    <a:ln>
                      <a:noFill/>
                    </a:ln>
                  </pic:spPr>
                </pic:pic>
              </a:graphicData>
            </a:graphic>
          </wp:inline>
        </w:drawing>
      </w:r>
      <w:r w:rsidRPr="0025260C">
        <w:rPr>
          <w:rFonts w:ascii="Times New Roman" w:hAnsi="Times New Roman" w:cs="Times New Roman"/>
        </w:rPr>
        <w:t xml:space="preserve"> where </w:t>
      </w:r>
      <w:r w:rsidRPr="0025260C">
        <w:rPr>
          <w:rFonts w:ascii="Times New Roman" w:eastAsia="Times New Roman" w:hAnsi="Times New Roman" w:cs="Times New Roman"/>
          <w:position w:val="-12"/>
          <w:szCs w:val="20"/>
          <w:lang w:val="en-GB"/>
        </w:rPr>
        <w:object w:dxaOrig="3750" w:dyaOrig="420" w14:anchorId="6FEA3972">
          <v:shape id="_x0000_i1038" type="#_x0000_t75" style="width:186.75pt;height:21pt" o:ole="">
            <v:imagedata r:id="rId21" o:title=""/>
          </v:shape>
          <o:OLEObject Type="Embed" ProgID="Equation.3" ShapeID="_x0000_i1038" DrawAspect="Content" ObjectID="_1595452234" r:id="rId28"/>
        </w:object>
      </w:r>
      <w:r w:rsidRPr="0025260C">
        <w:rPr>
          <w:rFonts w:ascii="Times New Roman" w:hAnsi="Times New Roman" w:cs="Times New Roman"/>
        </w:rPr>
        <w:t xml:space="preserve">, </w:t>
      </w:r>
      <w:r w:rsidRPr="0025260C">
        <w:rPr>
          <w:rFonts w:ascii="Times New Roman" w:hAnsi="Times New Roman" w:cs="Times New Roman"/>
          <w:noProof/>
          <w:position w:val="-12"/>
          <w:lang w:eastAsia="en-GB"/>
        </w:rPr>
        <w:drawing>
          <wp:inline distT="0" distB="0" distL="0" distR="0" wp14:anchorId="48BF65FA" wp14:editId="71B7FACD">
            <wp:extent cx="270510" cy="1987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510" cy="198755"/>
                    </a:xfrm>
                    <a:prstGeom prst="rect">
                      <a:avLst/>
                    </a:prstGeom>
                    <a:noFill/>
                    <a:ln>
                      <a:noFill/>
                    </a:ln>
                  </pic:spPr>
                </pic:pic>
              </a:graphicData>
            </a:graphic>
          </wp:inline>
        </w:drawing>
      </w:r>
      <w:r w:rsidRPr="0025260C">
        <w:rPr>
          <w:rFonts w:ascii="Times New Roman" w:hAnsi="Times New Roman" w:cs="Times New Roman"/>
        </w:rPr>
        <w:t xml:space="preserve"> is a time duration of </w:t>
      </w:r>
      <w:r w:rsidRPr="0025260C">
        <w:rPr>
          <w:rFonts w:ascii="Times New Roman" w:hAnsi="Times New Roman" w:cs="Times New Roman"/>
          <w:noProof/>
          <w:position w:val="-10"/>
          <w:lang w:eastAsia="en-GB"/>
        </w:rPr>
        <w:drawing>
          <wp:inline distT="0" distB="0" distL="0" distR="0" wp14:anchorId="3A1D7DDD" wp14:editId="187256A3">
            <wp:extent cx="191135" cy="1987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1135" cy="198755"/>
                    </a:xfrm>
                    <a:prstGeom prst="rect">
                      <a:avLst/>
                    </a:prstGeom>
                    <a:noFill/>
                    <a:ln>
                      <a:noFill/>
                    </a:ln>
                  </pic:spPr>
                </pic:pic>
              </a:graphicData>
            </a:graphic>
          </wp:inline>
        </w:drawing>
      </w:r>
      <w:r w:rsidRPr="0025260C">
        <w:rPr>
          <w:rFonts w:ascii="Times New Roman" w:hAnsi="Times New Roman" w:cs="Times New Roman"/>
        </w:rPr>
        <w:t xml:space="preserve"> symbols corresponding to a PDSCH reception time for PDSCH processing capability 1 when additional PDSCH DM-RS is configured, </w:t>
      </w:r>
      <w:r w:rsidRPr="0025260C">
        <w:rPr>
          <w:rFonts w:ascii="Times New Roman" w:hAnsi="Times New Roman" w:cs="Times New Roman"/>
          <w:noProof/>
          <w:position w:val="-12"/>
          <w:lang w:eastAsia="en-GB"/>
        </w:rPr>
        <w:drawing>
          <wp:inline distT="0" distB="0" distL="0" distR="0" wp14:anchorId="75726C66" wp14:editId="41B5864E">
            <wp:extent cx="270510" cy="1987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510" cy="198755"/>
                    </a:xfrm>
                    <a:prstGeom prst="rect">
                      <a:avLst/>
                    </a:prstGeom>
                    <a:noFill/>
                    <a:ln>
                      <a:noFill/>
                    </a:ln>
                  </pic:spPr>
                </pic:pic>
              </a:graphicData>
            </a:graphic>
          </wp:inline>
        </w:drawing>
      </w:r>
      <w:r w:rsidRPr="0025260C">
        <w:rPr>
          <w:rFonts w:ascii="Times New Roman" w:hAnsi="Times New Roman" w:cs="Times New Roman"/>
        </w:rPr>
        <w:t xml:space="preserve"> is a time duration of </w:t>
      </w:r>
      <w:r w:rsidRPr="0025260C">
        <w:rPr>
          <w:rFonts w:ascii="Times New Roman" w:hAnsi="Times New Roman" w:cs="Times New Roman"/>
          <w:noProof/>
          <w:position w:val="-10"/>
          <w:lang w:eastAsia="en-GB"/>
        </w:rPr>
        <w:drawing>
          <wp:inline distT="0" distB="0" distL="0" distR="0" wp14:anchorId="6BEE44E9" wp14:editId="2ED69209">
            <wp:extent cx="191135" cy="198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1135" cy="198755"/>
                    </a:xfrm>
                    <a:prstGeom prst="rect">
                      <a:avLst/>
                    </a:prstGeom>
                    <a:noFill/>
                    <a:ln>
                      <a:noFill/>
                    </a:ln>
                  </pic:spPr>
                </pic:pic>
              </a:graphicData>
            </a:graphic>
          </wp:inline>
        </w:drawing>
      </w:r>
      <w:r w:rsidRPr="0025260C">
        <w:rPr>
          <w:rFonts w:ascii="Times New Roman" w:hAnsi="Times New Roman" w:cs="Times New Roman"/>
        </w:rPr>
        <w:t xml:space="preserve"> symbols corresponding to a PUSCH</w:t>
      </w:r>
    </w:p>
    <w:p w14:paraId="5FD81C77" w14:textId="5529CF7F" w:rsidR="00C30BB9" w:rsidRDefault="00C30BB9" w:rsidP="00C30BB9">
      <w:pPr>
        <w:rPr>
          <w:lang w:val="en-GB" w:eastAsia="ja-JP"/>
        </w:rPr>
      </w:pPr>
      <w:r w:rsidRPr="00673D6E">
        <w:rPr>
          <w:rFonts w:cs="Arial"/>
          <w:color w:val="FF0000"/>
          <w:lang w:val="en-GB" w:eastAsia="ja-JP"/>
        </w:rPr>
        <w:t>------------------------------------------------</w:t>
      </w:r>
      <w:r>
        <w:rPr>
          <w:rFonts w:cs="Arial"/>
          <w:color w:val="FF0000"/>
          <w:lang w:val="en-GB" w:eastAsia="ja-JP"/>
        </w:rPr>
        <w:t xml:space="preserve"> </w:t>
      </w:r>
      <w:r w:rsidR="00D0522F">
        <w:rPr>
          <w:rFonts w:cs="Arial"/>
          <w:color w:val="FF0000"/>
          <w:lang w:val="en-GB" w:eastAsia="ja-JP"/>
        </w:rPr>
        <w:t xml:space="preserve">End </w:t>
      </w:r>
      <w:r w:rsidRPr="00673D6E">
        <w:rPr>
          <w:rFonts w:cs="Arial"/>
          <w:color w:val="FF0000"/>
          <w:lang w:val="en-GB" w:eastAsia="ja-JP"/>
        </w:rPr>
        <w:t xml:space="preserve">of TP </w:t>
      </w:r>
      <w:r w:rsidR="00D0522F">
        <w:rPr>
          <w:rFonts w:cs="Arial"/>
          <w:color w:val="FF0000"/>
          <w:lang w:val="en-GB" w:eastAsia="ja-JP"/>
        </w:rPr>
        <w:t>to</w:t>
      </w:r>
      <w:r>
        <w:rPr>
          <w:rFonts w:cs="Arial"/>
          <w:color w:val="FF0000"/>
          <w:lang w:val="en-GB" w:eastAsia="ja-JP"/>
        </w:rPr>
        <w:t xml:space="preserve"> </w:t>
      </w:r>
      <w:r w:rsidRPr="00673D6E">
        <w:rPr>
          <w:rFonts w:cs="Arial"/>
          <w:color w:val="FF0000"/>
          <w:lang w:val="en-GB" w:eastAsia="ja-JP"/>
        </w:rPr>
        <w:t>38.213</w:t>
      </w:r>
      <w:r>
        <w:rPr>
          <w:rFonts w:cs="Arial"/>
          <w:color w:val="FF0000"/>
          <w:lang w:val="en-GB" w:eastAsia="ja-JP"/>
        </w:rPr>
        <w:t>, Section 4.2 ----------------------------------</w:t>
      </w:r>
    </w:p>
    <w:p w14:paraId="1FB734F9" w14:textId="1BDF7DFB" w:rsidR="00CE5CD3" w:rsidRPr="00E8742F" w:rsidRDefault="00CE5CD3" w:rsidP="00C30BB9">
      <w:pPr>
        <w:pStyle w:val="Proposal"/>
        <w:numPr>
          <w:ilvl w:val="0"/>
          <w:numId w:val="0"/>
        </w:numPr>
        <w:ind w:left="1304" w:hanging="1304"/>
      </w:pPr>
      <w:r w:rsidRPr="00E8742F">
        <w:t xml:space="preserve"> </w:t>
      </w:r>
    </w:p>
    <w:p w14:paraId="7DFD3871" w14:textId="4A5CEF9C" w:rsidR="00307248" w:rsidRDefault="00307248" w:rsidP="009E2E90">
      <w:pPr>
        <w:pStyle w:val="Heading2"/>
      </w:pPr>
      <w:r>
        <w:t>2.</w:t>
      </w:r>
      <w:r w:rsidR="009E2E90">
        <w:t>4</w:t>
      </w:r>
      <w:r>
        <w:t xml:space="preserve"> </w:t>
      </w:r>
      <w:r>
        <w:tab/>
        <w:t>Msg3 PUSCH frequency domain resource allocation field in RAR grant</w:t>
      </w:r>
    </w:p>
    <w:p w14:paraId="766B52F0" w14:textId="132ED2B7" w:rsidR="00307248" w:rsidRPr="00490190" w:rsidRDefault="00AF15E6" w:rsidP="00AF15E6">
      <w:pPr>
        <w:pStyle w:val="TAC"/>
        <w:jc w:val="left"/>
        <w:rPr>
          <w:rFonts w:eastAsia="Times New Roman" w:cs="Times New Roman"/>
          <w:sz w:val="20"/>
          <w:szCs w:val="20"/>
          <w:lang w:val="en-US" w:eastAsia="en-GB"/>
        </w:rPr>
      </w:pPr>
      <w:r w:rsidRPr="00490190">
        <w:rPr>
          <w:sz w:val="20"/>
          <w:szCs w:val="20"/>
        </w:rPr>
        <w:t>The interpretation of ‘</w:t>
      </w:r>
      <w:r w:rsidRPr="00490190">
        <w:rPr>
          <w:sz w:val="20"/>
          <w:szCs w:val="20"/>
          <w:lang w:eastAsia="en-GB"/>
        </w:rPr>
        <w:t>Msg3 PUSCH frequency resource allocation</w:t>
      </w:r>
      <w:r w:rsidRPr="00490190">
        <w:rPr>
          <w:sz w:val="20"/>
          <w:szCs w:val="20"/>
        </w:rPr>
        <w:t>’</w:t>
      </w:r>
      <w:r w:rsidRPr="00490190">
        <w:rPr>
          <w:sz w:val="20"/>
          <w:szCs w:val="20"/>
          <w:lang w:val="en-US"/>
        </w:rPr>
        <w:t xml:space="preserve"> </w:t>
      </w:r>
      <w:r w:rsidRPr="00490190">
        <w:rPr>
          <w:sz w:val="20"/>
          <w:szCs w:val="20"/>
        </w:rPr>
        <w:t xml:space="preserve">field of RAR grant </w:t>
      </w:r>
      <w:r w:rsidR="00550726" w:rsidRPr="00490190">
        <w:rPr>
          <w:sz w:val="20"/>
          <w:szCs w:val="20"/>
          <w:lang w:val="en-US"/>
        </w:rPr>
        <w:t xml:space="preserve">of Table 8.2-1 </w:t>
      </w:r>
      <w:r w:rsidRPr="00490190">
        <w:rPr>
          <w:sz w:val="20"/>
          <w:szCs w:val="20"/>
        </w:rPr>
        <w:t>in TS 38.213 v15.2.0</w:t>
      </w:r>
      <w:r w:rsidR="00550726" w:rsidRPr="00490190">
        <w:rPr>
          <w:sz w:val="20"/>
          <w:szCs w:val="20"/>
          <w:lang w:val="en-US"/>
        </w:rPr>
        <w:t xml:space="preserve"> </w:t>
      </w:r>
      <w:r w:rsidR="00DB4D7D" w:rsidRPr="00490190">
        <w:rPr>
          <w:sz w:val="20"/>
          <w:szCs w:val="20"/>
          <w:lang w:val="en-US"/>
        </w:rPr>
        <w:t xml:space="preserve"> </w:t>
      </w:r>
      <w:r w:rsidR="00DB4D7D" w:rsidRPr="00490190">
        <w:rPr>
          <w:sz w:val="20"/>
          <w:szCs w:val="20"/>
          <w:lang w:val="en-GB" w:eastAsia="ja-JP"/>
        </w:rPr>
        <w:fldChar w:fldCharType="begin"/>
      </w:r>
      <w:r w:rsidR="00DB4D7D" w:rsidRPr="00490190">
        <w:rPr>
          <w:sz w:val="20"/>
          <w:szCs w:val="20"/>
          <w:lang w:val="en-GB" w:eastAsia="ja-JP"/>
        </w:rPr>
        <w:instrText xml:space="preserve"> REF _Ref521404802 \r \h </w:instrText>
      </w:r>
      <w:r w:rsidR="00DB4D7D" w:rsidRPr="00490190">
        <w:rPr>
          <w:sz w:val="20"/>
          <w:szCs w:val="20"/>
          <w:lang w:val="en-GB" w:eastAsia="ja-JP"/>
        </w:rPr>
      </w:r>
      <w:r w:rsidR="00490190">
        <w:rPr>
          <w:sz w:val="20"/>
          <w:szCs w:val="20"/>
          <w:lang w:val="en-GB" w:eastAsia="ja-JP"/>
        </w:rPr>
        <w:instrText xml:space="preserve"> \* MERGEFORMAT </w:instrText>
      </w:r>
      <w:r w:rsidR="00DB4D7D" w:rsidRPr="00490190">
        <w:rPr>
          <w:sz w:val="20"/>
          <w:szCs w:val="20"/>
          <w:lang w:val="en-GB" w:eastAsia="ja-JP"/>
        </w:rPr>
        <w:fldChar w:fldCharType="separate"/>
      </w:r>
      <w:r w:rsidR="00CF6FC6" w:rsidRPr="00490190">
        <w:rPr>
          <w:sz w:val="20"/>
          <w:szCs w:val="20"/>
          <w:lang w:val="en-GB" w:eastAsia="ja-JP"/>
        </w:rPr>
        <w:t>[1]</w:t>
      </w:r>
      <w:r w:rsidR="00DB4D7D" w:rsidRPr="00490190">
        <w:rPr>
          <w:sz w:val="20"/>
          <w:szCs w:val="20"/>
          <w:lang w:val="en-GB" w:eastAsia="ja-JP"/>
        </w:rPr>
        <w:fldChar w:fldCharType="end"/>
      </w:r>
      <w:r w:rsidR="00DB4D7D" w:rsidRPr="00490190">
        <w:rPr>
          <w:sz w:val="20"/>
          <w:szCs w:val="20"/>
          <w:lang w:val="en-GB" w:eastAsia="ja-JP"/>
        </w:rPr>
        <w:t xml:space="preserve"> </w:t>
      </w:r>
      <w:r w:rsidR="00550726" w:rsidRPr="00490190">
        <w:rPr>
          <w:sz w:val="20"/>
          <w:szCs w:val="20"/>
        </w:rPr>
        <w:t>is missing</w:t>
      </w:r>
      <w:r w:rsidRPr="00490190">
        <w:rPr>
          <w:sz w:val="20"/>
          <w:szCs w:val="20"/>
        </w:rPr>
        <w:t xml:space="preserve">. </w:t>
      </w:r>
      <w:r w:rsidR="00A626CA" w:rsidRPr="00490190">
        <w:rPr>
          <w:sz w:val="20"/>
          <w:szCs w:val="20"/>
          <w:lang w:val="en-US"/>
        </w:rPr>
        <w:t>This is in similar lines of section 6.2 of TS 36.213.</w:t>
      </w:r>
    </w:p>
    <w:p w14:paraId="5F31A50E" w14:textId="77777777" w:rsidR="00550726" w:rsidRDefault="00550726" w:rsidP="00307248">
      <w:pPr>
        <w:pStyle w:val="B1"/>
        <w:rPr>
          <w:lang w:eastAsia="ja-JP"/>
        </w:rPr>
      </w:pPr>
      <w:bookmarkStart w:id="8" w:name="_Hlk516747102"/>
    </w:p>
    <w:p w14:paraId="66279423" w14:textId="7522B446" w:rsidR="00D0522F" w:rsidRDefault="00550726" w:rsidP="00550726">
      <w:pPr>
        <w:pStyle w:val="Proposal"/>
      </w:pPr>
      <w:bookmarkStart w:id="9" w:name="_Toc521707045"/>
      <w:r>
        <w:t>Propose to add the interpretation of ‘</w:t>
      </w:r>
      <w:r>
        <w:rPr>
          <w:lang w:eastAsia="en-GB"/>
        </w:rPr>
        <w:t>Msg3 PUSCH frequency resource allocation</w:t>
      </w:r>
      <w:r>
        <w:t>’ field of RAR grant in TS 38.213 v15.2.0</w:t>
      </w:r>
      <w:r w:rsidRPr="00E8742F">
        <w:t xml:space="preserve"> This is in line with the agreements from RAN1#93. A corresponding TP is provided.</w:t>
      </w:r>
      <w:bookmarkEnd w:id="9"/>
    </w:p>
    <w:p w14:paraId="7F3384DA" w14:textId="77777777" w:rsidR="00D0522F" w:rsidRDefault="00D0522F" w:rsidP="00D0522F">
      <w:pPr>
        <w:pStyle w:val="Proposal"/>
        <w:numPr>
          <w:ilvl w:val="0"/>
          <w:numId w:val="0"/>
        </w:numPr>
        <w:ind w:left="1304" w:hanging="1304"/>
      </w:pPr>
    </w:p>
    <w:p w14:paraId="767C8BEA" w14:textId="2E7D9C58" w:rsidR="00D0522F" w:rsidRDefault="00D0522F" w:rsidP="00D0522F">
      <w:pPr>
        <w:rPr>
          <w:rFonts w:cs="Arial"/>
          <w:color w:val="FF0000"/>
          <w:lang w:val="en-GB" w:eastAsia="ja-JP"/>
        </w:rPr>
      </w:pPr>
      <w:r w:rsidRPr="00673D6E">
        <w:rPr>
          <w:rFonts w:cs="Arial"/>
          <w:color w:val="FF0000"/>
          <w:lang w:val="en-GB" w:eastAsia="ja-JP"/>
        </w:rPr>
        <w:t>------------------------------------------------</w:t>
      </w:r>
      <w:r>
        <w:rPr>
          <w:rFonts w:cs="Arial"/>
          <w:color w:val="FF0000"/>
          <w:lang w:val="en-GB" w:eastAsia="ja-JP"/>
        </w:rPr>
        <w:t xml:space="preserve"> </w:t>
      </w:r>
      <w:r w:rsidRPr="00673D6E">
        <w:rPr>
          <w:rFonts w:cs="Arial"/>
          <w:color w:val="FF0000"/>
          <w:lang w:val="en-GB" w:eastAsia="ja-JP"/>
        </w:rPr>
        <w:t xml:space="preserve">Start of TP </w:t>
      </w:r>
      <w:r>
        <w:rPr>
          <w:rFonts w:cs="Arial"/>
          <w:color w:val="FF0000"/>
          <w:lang w:val="en-GB" w:eastAsia="ja-JP"/>
        </w:rPr>
        <w:t>to</w:t>
      </w:r>
      <w:r>
        <w:rPr>
          <w:rFonts w:cs="Arial"/>
          <w:color w:val="FF0000"/>
          <w:lang w:val="en-GB" w:eastAsia="ja-JP"/>
        </w:rPr>
        <w:t xml:space="preserve"> </w:t>
      </w:r>
      <w:r w:rsidRPr="00673D6E">
        <w:rPr>
          <w:rFonts w:cs="Arial"/>
          <w:color w:val="FF0000"/>
          <w:lang w:val="en-GB" w:eastAsia="ja-JP"/>
        </w:rPr>
        <w:t>38.213</w:t>
      </w:r>
      <w:r>
        <w:rPr>
          <w:rFonts w:cs="Arial"/>
          <w:color w:val="FF0000"/>
          <w:lang w:val="en-GB" w:eastAsia="ja-JP"/>
        </w:rPr>
        <w:t>, Section 8.2 ----------------------------------</w:t>
      </w:r>
    </w:p>
    <w:p w14:paraId="23107F6E" w14:textId="77777777" w:rsidR="00D0522F" w:rsidRPr="00D0522F" w:rsidRDefault="00D0522F" w:rsidP="00D0522F">
      <w:pPr>
        <w:pStyle w:val="B1"/>
        <w:rPr>
          <w:color w:val="FF0000"/>
          <w:u w:val="single"/>
          <w:lang w:eastAsia="ja-JP"/>
        </w:rPr>
      </w:pPr>
      <w:r w:rsidRPr="00D0522F">
        <w:rPr>
          <w:color w:val="FF0000"/>
          <w:u w:val="single"/>
          <w:lang w:eastAsia="ja-JP"/>
        </w:rPr>
        <w:t>The Msg3 PUSCH frequency domain resource allocation field is interpreted as follows:</w:t>
      </w:r>
    </w:p>
    <w:p w14:paraId="4AF55655" w14:textId="77777777" w:rsidR="00D0522F" w:rsidRPr="00D0522F" w:rsidRDefault="00D0522F" w:rsidP="00D0522F">
      <w:pPr>
        <w:pStyle w:val="B1"/>
        <w:rPr>
          <w:color w:val="FF0000"/>
          <w:u w:val="single"/>
        </w:rPr>
      </w:pPr>
      <w:r w:rsidRPr="00D0522F">
        <w:rPr>
          <w:color w:val="FF0000"/>
          <w:u w:val="single"/>
        </w:rPr>
        <w:t>-</w:t>
      </w:r>
      <w:r w:rsidRPr="00D0522F">
        <w:rPr>
          <w:color w:val="FF0000"/>
          <w:u w:val="single"/>
        </w:rPr>
        <w:tab/>
        <w:t>if the frequency hopping flag bit is set to 1</w:t>
      </w:r>
    </w:p>
    <w:p w14:paraId="40FDDDA2" w14:textId="77777777" w:rsidR="00D0522F" w:rsidRPr="00D0522F" w:rsidRDefault="00D0522F" w:rsidP="00D0522F">
      <w:pPr>
        <w:pStyle w:val="B2"/>
        <w:rPr>
          <w:color w:val="FF0000"/>
          <w:u w:val="single"/>
        </w:rPr>
      </w:pPr>
      <w:r w:rsidRPr="00D0522F">
        <w:rPr>
          <w:color w:val="FF0000"/>
          <w:u w:val="single"/>
        </w:rPr>
        <w:t>-</w:t>
      </w:r>
      <w:r w:rsidRPr="00D0522F">
        <w:rPr>
          <w:color w:val="FF0000"/>
          <w:u w:val="single"/>
        </w:rPr>
        <w:tab/>
      </w:r>
      <m:oMath>
        <m:sSub>
          <m:sSubPr>
            <m:ctrlPr>
              <w:rPr>
                <w:rFonts w:ascii="Cambria Math" w:hAnsi="Cambria Math"/>
                <w:i/>
                <w:color w:val="FF0000"/>
                <w:u w:val="single"/>
              </w:rPr>
            </m:ctrlPr>
          </m:sSubPr>
          <m:e>
            <m:r>
              <w:rPr>
                <w:rFonts w:ascii="Cambria Math" w:hAnsi="Cambria Math"/>
                <w:color w:val="FF0000"/>
                <w:u w:val="single"/>
              </w:rPr>
              <m:t>N</m:t>
            </m:r>
          </m:e>
          <m:sub>
            <m:r>
              <m:rPr>
                <m:nor/>
              </m:rPr>
              <w:rPr>
                <w:rFonts w:ascii="Cambria Math" w:hAnsi="Cambria Math"/>
                <w:color w:val="FF0000"/>
                <w:u w:val="single"/>
              </w:rPr>
              <m:t>UL, hop</m:t>
            </m:r>
          </m:sub>
        </m:sSub>
      </m:oMath>
      <w:r w:rsidRPr="00D0522F">
        <w:rPr>
          <w:color w:val="FF0000"/>
          <w:u w:val="single"/>
        </w:rPr>
        <w:t xml:space="preserve"> MSB bits in the frequency domain resource allocation field are used to indicate the frequency offset according to Subclause 6.3 of [6, TS </w:t>
      </w:r>
      <w:proofErr w:type="gramStart"/>
      <w:r w:rsidRPr="00D0522F">
        <w:rPr>
          <w:color w:val="FF0000"/>
          <w:u w:val="single"/>
        </w:rPr>
        <w:t>38.214 ]</w:t>
      </w:r>
      <w:proofErr w:type="gramEnd"/>
      <w:r w:rsidRPr="00D0522F">
        <w:rPr>
          <w:color w:val="FF0000"/>
          <w:u w:val="single"/>
        </w:rPr>
        <w:t xml:space="preserve">, where the number of hopping bits </w:t>
      </w:r>
      <m:oMath>
        <m:sSub>
          <m:sSubPr>
            <m:ctrlPr>
              <w:rPr>
                <w:rFonts w:ascii="Cambria Math" w:hAnsi="Cambria Math"/>
                <w:i/>
                <w:color w:val="FF0000"/>
                <w:u w:val="single"/>
              </w:rPr>
            </m:ctrlPr>
          </m:sSubPr>
          <m:e>
            <m:r>
              <w:rPr>
                <w:rFonts w:ascii="Cambria Math" w:hAnsi="Cambria Math"/>
                <w:color w:val="FF0000"/>
                <w:u w:val="single"/>
              </w:rPr>
              <m:t>N</m:t>
            </m:r>
          </m:e>
          <m:sub>
            <m:r>
              <m:rPr>
                <m:nor/>
              </m:rPr>
              <w:rPr>
                <w:rFonts w:ascii="Cambria Math" w:hAnsi="Cambria Math"/>
                <w:color w:val="FF0000"/>
                <w:u w:val="single"/>
              </w:rPr>
              <m:t>UL, hop</m:t>
            </m:r>
          </m:sub>
        </m:sSub>
      </m:oMath>
      <w:r w:rsidRPr="00D0522F">
        <w:rPr>
          <w:color w:val="FF0000"/>
          <w:u w:val="single"/>
        </w:rPr>
        <w:t xml:space="preserve"> is defined in Table 8.3-1.</w:t>
      </w:r>
    </w:p>
    <w:p w14:paraId="662C7920" w14:textId="77777777" w:rsidR="00D0522F" w:rsidRPr="00D0522F" w:rsidRDefault="00D0522F" w:rsidP="00D0522F">
      <w:pPr>
        <w:pStyle w:val="B2"/>
        <w:rPr>
          <w:color w:val="FF0000"/>
          <w:u w:val="single"/>
        </w:rPr>
      </w:pPr>
      <w:r w:rsidRPr="00D0522F">
        <w:rPr>
          <w:color w:val="FF0000"/>
          <w:u w:val="single"/>
        </w:rPr>
        <w:t>-</w:t>
      </w:r>
      <w:r w:rsidRPr="00D0522F">
        <w:rPr>
          <w:color w:val="FF0000"/>
          <w:u w:val="single"/>
        </w:rPr>
        <w:tab/>
        <w:t xml:space="preserve">The </w:t>
      </w:r>
      <m:oMath>
        <m:r>
          <m:rPr>
            <m:nor/>
          </m:rPr>
          <w:rPr>
            <w:rFonts w:ascii="Cambria Math" w:hAnsi="Cambria Math"/>
            <w:i/>
            <w:color w:val="FF0000"/>
            <w:u w:val="single"/>
          </w:rPr>
          <m:t>14</m:t>
        </m:r>
        <m:r>
          <w:rPr>
            <w:rFonts w:ascii="Cambria Math" w:hAnsi="Cambria Math"/>
            <w:color w:val="FF0000"/>
            <w:u w:val="single"/>
          </w:rPr>
          <m:t>-</m:t>
        </m:r>
        <m:sSub>
          <m:sSubPr>
            <m:ctrlPr>
              <w:rPr>
                <w:rFonts w:ascii="Cambria Math" w:hAnsi="Cambria Math"/>
                <w:i/>
                <w:color w:val="FF0000"/>
                <w:u w:val="single"/>
              </w:rPr>
            </m:ctrlPr>
          </m:sSubPr>
          <m:e>
            <m:r>
              <w:rPr>
                <w:rFonts w:ascii="Cambria Math" w:hAnsi="Cambria Math"/>
                <w:color w:val="FF0000"/>
                <w:u w:val="single"/>
              </w:rPr>
              <m:t>N</m:t>
            </m:r>
          </m:e>
          <m:sub>
            <m:r>
              <m:rPr>
                <m:nor/>
              </m:rPr>
              <w:rPr>
                <w:rFonts w:ascii="Cambria Math" w:hAnsi="Cambria Math"/>
                <w:color w:val="FF0000"/>
                <w:u w:val="single"/>
              </w:rPr>
              <m:t>UL, hop</m:t>
            </m:r>
          </m:sub>
        </m:sSub>
      </m:oMath>
      <w:r w:rsidRPr="00D0522F">
        <w:rPr>
          <w:color w:val="FF0000"/>
          <w:u w:val="single"/>
        </w:rPr>
        <w:t xml:space="preserve"> LSB bits provide the frequency domain resource allocation according to Subclause 6.1.2.2.2 of [6, TS 38.214] </w:t>
      </w:r>
    </w:p>
    <w:p w14:paraId="532FA255" w14:textId="77777777" w:rsidR="00D0522F" w:rsidRPr="00D0522F" w:rsidRDefault="00D0522F" w:rsidP="00D0522F">
      <w:pPr>
        <w:pStyle w:val="B1"/>
        <w:rPr>
          <w:color w:val="FF0000"/>
          <w:u w:val="single"/>
        </w:rPr>
      </w:pPr>
      <w:r w:rsidRPr="00D0522F">
        <w:rPr>
          <w:color w:val="FF0000"/>
          <w:u w:val="single"/>
        </w:rPr>
        <w:t>-</w:t>
      </w:r>
      <w:r w:rsidRPr="00D0522F">
        <w:rPr>
          <w:color w:val="FF0000"/>
          <w:u w:val="single"/>
        </w:rPr>
        <w:tab/>
        <w:t xml:space="preserve">else </w:t>
      </w:r>
    </w:p>
    <w:p w14:paraId="65736B52" w14:textId="77777777" w:rsidR="00D0522F" w:rsidRPr="00D0522F" w:rsidRDefault="00D0522F" w:rsidP="00D0522F">
      <w:pPr>
        <w:pStyle w:val="B2"/>
        <w:rPr>
          <w:color w:val="FF0000"/>
          <w:u w:val="single"/>
        </w:rPr>
      </w:pPr>
      <w:r w:rsidRPr="00D0522F">
        <w:rPr>
          <w:color w:val="FF0000"/>
          <w:u w:val="single"/>
        </w:rPr>
        <w:t>-</w:t>
      </w:r>
      <w:r w:rsidRPr="00D0522F">
        <w:rPr>
          <w:color w:val="FF0000"/>
          <w:u w:val="single"/>
        </w:rPr>
        <w:tab/>
        <w:t>the 14 bits provide the frequency domain resource allocation according to Subclause 6.1.2.2.2 of [6, TS 38.214]</w:t>
      </w:r>
    </w:p>
    <w:p w14:paraId="17E91DD4" w14:textId="77777777" w:rsidR="00D0522F" w:rsidRPr="00D0522F" w:rsidRDefault="00D0522F" w:rsidP="00D0522F">
      <w:pPr>
        <w:pStyle w:val="B1"/>
        <w:rPr>
          <w:color w:val="FF0000"/>
          <w:u w:val="single"/>
        </w:rPr>
      </w:pPr>
      <w:r w:rsidRPr="00D0522F">
        <w:rPr>
          <w:color w:val="FF0000"/>
          <w:u w:val="single"/>
        </w:rPr>
        <w:t>-</w:t>
      </w:r>
      <w:r w:rsidRPr="00D0522F">
        <w:rPr>
          <w:color w:val="FF0000"/>
          <w:u w:val="single"/>
        </w:rPr>
        <w:tab/>
        <w:t>end if</w:t>
      </w:r>
    </w:p>
    <w:p w14:paraId="652A1D36" w14:textId="77777777" w:rsidR="00D0522F" w:rsidRPr="00D0522F" w:rsidRDefault="00D0522F" w:rsidP="00D0522F">
      <w:pPr>
        <w:rPr>
          <w:rFonts w:cs="Arial"/>
          <w:color w:val="FF0000"/>
          <w:u w:val="single"/>
          <w:lang w:val="en-GB" w:eastAsia="ja-JP"/>
        </w:rPr>
      </w:pPr>
    </w:p>
    <w:p w14:paraId="1BAFA099" w14:textId="765400B1" w:rsidR="00D0522F" w:rsidRDefault="00D0522F" w:rsidP="00D0522F">
      <w:pPr>
        <w:rPr>
          <w:lang w:val="en-GB" w:eastAsia="ja-JP"/>
        </w:rPr>
      </w:pPr>
      <w:r w:rsidRPr="00673D6E">
        <w:rPr>
          <w:rFonts w:cs="Arial"/>
          <w:color w:val="FF0000"/>
          <w:lang w:val="en-GB" w:eastAsia="ja-JP"/>
        </w:rPr>
        <w:t>------------------------------------------------</w:t>
      </w:r>
      <w:r>
        <w:rPr>
          <w:rFonts w:cs="Arial"/>
          <w:color w:val="FF0000"/>
          <w:lang w:val="en-GB" w:eastAsia="ja-JP"/>
        </w:rPr>
        <w:t>End</w:t>
      </w:r>
      <w:r w:rsidRPr="00673D6E">
        <w:rPr>
          <w:rFonts w:cs="Arial"/>
          <w:color w:val="FF0000"/>
          <w:lang w:val="en-GB" w:eastAsia="ja-JP"/>
        </w:rPr>
        <w:t xml:space="preserve"> of TP </w:t>
      </w:r>
      <w:r>
        <w:rPr>
          <w:rFonts w:cs="Arial"/>
          <w:color w:val="FF0000"/>
          <w:lang w:val="en-GB" w:eastAsia="ja-JP"/>
        </w:rPr>
        <w:t>to</w:t>
      </w:r>
      <w:r>
        <w:rPr>
          <w:rFonts w:cs="Arial"/>
          <w:color w:val="FF0000"/>
          <w:lang w:val="en-GB" w:eastAsia="ja-JP"/>
        </w:rPr>
        <w:t xml:space="preserve"> </w:t>
      </w:r>
      <w:r w:rsidRPr="00673D6E">
        <w:rPr>
          <w:rFonts w:cs="Arial"/>
          <w:color w:val="FF0000"/>
          <w:lang w:val="en-GB" w:eastAsia="ja-JP"/>
        </w:rPr>
        <w:t>38.213</w:t>
      </w:r>
      <w:r>
        <w:rPr>
          <w:rFonts w:cs="Arial"/>
          <w:color w:val="FF0000"/>
          <w:lang w:val="en-GB" w:eastAsia="ja-JP"/>
        </w:rPr>
        <w:t>, Section 8.2 ----------------------------------</w:t>
      </w:r>
    </w:p>
    <w:p w14:paraId="7235C72B" w14:textId="0EF50442" w:rsidR="00550726" w:rsidRPr="00E8742F" w:rsidRDefault="00550726" w:rsidP="00D0522F">
      <w:pPr>
        <w:pStyle w:val="Proposal"/>
        <w:numPr>
          <w:ilvl w:val="0"/>
          <w:numId w:val="0"/>
        </w:numPr>
        <w:ind w:left="1304" w:hanging="1304"/>
      </w:pPr>
      <w:r w:rsidRPr="00E8742F">
        <w:t xml:space="preserve"> </w:t>
      </w:r>
    </w:p>
    <w:bookmarkEnd w:id="8"/>
    <w:p w14:paraId="582D458E" w14:textId="2A2D56CC" w:rsidR="00350EE2" w:rsidRDefault="00230D18" w:rsidP="00307248">
      <w:pPr>
        <w:pStyle w:val="Heading2"/>
      </w:pPr>
      <w:r>
        <w:t>2.</w:t>
      </w:r>
      <w:r w:rsidR="009E2E90">
        <w:t>5</w:t>
      </w:r>
      <w:r>
        <w:tab/>
      </w:r>
      <w:r w:rsidR="004F4197">
        <w:t>Default configurations to apply when transform precoding is enabled in MSG3 and PUSCH</w:t>
      </w:r>
      <w:r w:rsidR="004F4197">
        <w:tab/>
      </w:r>
    </w:p>
    <w:p w14:paraId="3D55E05B" w14:textId="2A9D82C8" w:rsidR="004F4197" w:rsidRPr="00E8742F" w:rsidRDefault="004F4197" w:rsidP="004F4197">
      <w:r w:rsidRPr="00E8742F">
        <w:t>In 38.211</w:t>
      </w:r>
      <w:r w:rsidR="00766919">
        <w:t xml:space="preserve"> v15.2.0</w:t>
      </w:r>
      <w:r w:rsidR="00A4492E">
        <w:t xml:space="preserve"> </w:t>
      </w:r>
      <w:r w:rsidR="00A4492E">
        <w:fldChar w:fldCharType="begin"/>
      </w:r>
      <w:r w:rsidR="00A4492E">
        <w:instrText xml:space="preserve"> REF _Ref521660714 \r \h </w:instrText>
      </w:r>
      <w:r w:rsidR="00A4492E">
        <w:fldChar w:fldCharType="separate"/>
      </w:r>
      <w:r w:rsidR="00CF6FC6">
        <w:t>[2]</w:t>
      </w:r>
      <w:r w:rsidR="00A4492E">
        <w:fldChar w:fldCharType="end"/>
      </w:r>
      <w:r w:rsidRPr="00E8742F">
        <w:t xml:space="preserve"> chapter 6.4.1.1.1.2 DMRS sequence generation when transform precoding is enabled are described as below, the sequence </w:t>
      </w:r>
      <w:proofErr w:type="gramStart"/>
      <w:r w:rsidRPr="00E8742F">
        <w:t>are</w:t>
      </w:r>
      <w:proofErr w:type="gramEnd"/>
      <w:r w:rsidRPr="00E8742F">
        <w:t xml:space="preserve"> depended of hopping method that is configured from higher layer. 3 alternatives are considered, apply only group hopping; apply only sequence hopping; apply neither group hopping nor sequence hopping.</w:t>
      </w:r>
    </w:p>
    <w:p w14:paraId="228CDC4D" w14:textId="77777777" w:rsidR="004F4197" w:rsidRDefault="004F4197" w:rsidP="004F4197">
      <w:r>
        <w:rPr>
          <w:noProof/>
        </w:rPr>
        <w:drawing>
          <wp:inline distT="0" distB="0" distL="0" distR="0" wp14:anchorId="7BD8A53B" wp14:editId="4147C903">
            <wp:extent cx="5198335" cy="2757992"/>
            <wp:effectExtent l="0" t="0" r="2540" b="4445"/>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34807" cy="2777342"/>
                    </a:xfrm>
                    <a:prstGeom prst="rect">
                      <a:avLst/>
                    </a:prstGeom>
                  </pic:spPr>
                </pic:pic>
              </a:graphicData>
            </a:graphic>
          </wp:inline>
        </w:drawing>
      </w:r>
    </w:p>
    <w:p w14:paraId="10EC3644" w14:textId="77777777" w:rsidR="004F4197" w:rsidRDefault="004F4197" w:rsidP="004F4197"/>
    <w:p w14:paraId="50EA7C55" w14:textId="11EF50C5" w:rsidR="004F4197" w:rsidRPr="00E8742F" w:rsidRDefault="004F4197" w:rsidP="004F4197">
      <w:r w:rsidRPr="00E8742F">
        <w:t>In 38.331</w:t>
      </w:r>
      <w:r w:rsidR="006B6EFF">
        <w:t xml:space="preserve"> </w:t>
      </w:r>
      <w:r w:rsidR="006B6EFF">
        <w:fldChar w:fldCharType="begin"/>
      </w:r>
      <w:r w:rsidR="006B6EFF">
        <w:instrText xml:space="preserve"> REF _Ref521660939 \r \h </w:instrText>
      </w:r>
      <w:r w:rsidR="006B6EFF">
        <w:fldChar w:fldCharType="separate"/>
      </w:r>
      <w:r w:rsidR="00CF6FC6">
        <w:t>[3]</w:t>
      </w:r>
      <w:r w:rsidR="006B6EFF">
        <w:fldChar w:fldCharType="end"/>
      </w:r>
      <w:r w:rsidRPr="00E8742F">
        <w:t xml:space="preserve">, </w:t>
      </w:r>
      <w:r w:rsidRPr="00E8742F">
        <w:rPr>
          <w:lang w:eastAsia="en-GB"/>
        </w:rPr>
        <w:t xml:space="preserve">IE </w:t>
      </w:r>
      <w:r w:rsidRPr="00E8742F">
        <w:rPr>
          <w:i/>
          <w:iCs/>
          <w:lang w:eastAsia="en-GB"/>
        </w:rPr>
        <w:t>DMRS-</w:t>
      </w:r>
      <w:proofErr w:type="spellStart"/>
      <w:r w:rsidRPr="00E8742F">
        <w:rPr>
          <w:i/>
          <w:iCs/>
          <w:lang w:eastAsia="en-GB"/>
        </w:rPr>
        <w:t>UplinkConfig</w:t>
      </w:r>
      <w:proofErr w:type="spellEnd"/>
      <w:r w:rsidRPr="00E8742F">
        <w:rPr>
          <w:i/>
          <w:iCs/>
          <w:lang w:eastAsia="en-GB"/>
        </w:rPr>
        <w:t xml:space="preserve"> </w:t>
      </w:r>
      <w:r w:rsidRPr="00E8742F">
        <w:rPr>
          <w:lang w:eastAsia="en-GB"/>
        </w:rPr>
        <w:t xml:space="preserve">is used to configure uplink demodulation reference signals for PUSCH. Where 2 flags are used to indicate which of the 3 alternatives to be used for hopping. </w:t>
      </w:r>
    </w:p>
    <w:p w14:paraId="4EB0BA78" w14:textId="77777777" w:rsidR="004F4197" w:rsidRDefault="004F4197" w:rsidP="004F4197">
      <w:r>
        <w:rPr>
          <w:noProof/>
        </w:rPr>
        <w:drawing>
          <wp:inline distT="0" distB="0" distL="0" distR="0" wp14:anchorId="79F7463D" wp14:editId="1E4E7D4F">
            <wp:extent cx="6120765" cy="215201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2152015"/>
                    </a:xfrm>
                    <a:prstGeom prst="rect">
                      <a:avLst/>
                    </a:prstGeom>
                  </pic:spPr>
                </pic:pic>
              </a:graphicData>
            </a:graphic>
          </wp:inline>
        </w:drawing>
      </w:r>
    </w:p>
    <w:p w14:paraId="6CEE7584" w14:textId="77777777" w:rsidR="004F4197" w:rsidRDefault="004F4197" w:rsidP="004F4197">
      <w:r>
        <w:rPr>
          <w:noProof/>
        </w:rPr>
        <w:drawing>
          <wp:inline distT="0" distB="0" distL="0" distR="0" wp14:anchorId="442A0FF3" wp14:editId="1CB2A55C">
            <wp:extent cx="6120765" cy="27882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788285"/>
                    </a:xfrm>
                    <a:prstGeom prst="rect">
                      <a:avLst/>
                    </a:prstGeom>
                  </pic:spPr>
                </pic:pic>
              </a:graphicData>
            </a:graphic>
          </wp:inline>
        </w:drawing>
      </w:r>
    </w:p>
    <w:p w14:paraId="131F46B0" w14:textId="77777777" w:rsidR="004F4197" w:rsidRDefault="004F4197" w:rsidP="004F4197">
      <w:pPr>
        <w:rPr>
          <w:lang w:eastAsia="en-GB"/>
        </w:rPr>
      </w:pPr>
    </w:p>
    <w:p w14:paraId="31E7799F" w14:textId="77777777" w:rsidR="004F4197" w:rsidRPr="00E8742F" w:rsidRDefault="004F4197" w:rsidP="004F4197">
      <w:r w:rsidRPr="00E8742F">
        <w:rPr>
          <w:lang w:eastAsia="en-GB"/>
        </w:rPr>
        <w:t>DMRS-</w:t>
      </w:r>
      <w:proofErr w:type="spellStart"/>
      <w:r w:rsidRPr="00E8742F">
        <w:rPr>
          <w:lang w:eastAsia="en-GB"/>
        </w:rPr>
        <w:t>UplinkConfig</w:t>
      </w:r>
      <w:proofErr w:type="spellEnd"/>
      <w:r w:rsidRPr="00E8742F">
        <w:rPr>
          <w:lang w:eastAsia="en-GB"/>
        </w:rPr>
        <w:t xml:space="preserve"> is optional element in PUSCH-Config. The IE </w:t>
      </w:r>
      <w:r w:rsidRPr="00E8742F">
        <w:rPr>
          <w:i/>
          <w:iCs/>
          <w:lang w:eastAsia="en-GB"/>
        </w:rPr>
        <w:t xml:space="preserve">PUSCH-Config </w:t>
      </w:r>
      <w:r w:rsidRPr="00E8742F">
        <w:rPr>
          <w:lang w:eastAsia="en-GB"/>
        </w:rPr>
        <w:t xml:space="preserve">is used to configure the UE specific PUSCH parameters applicable to a </w:t>
      </w:r>
      <w:proofErr w:type="gramStart"/>
      <w:r w:rsidRPr="00E8742F">
        <w:rPr>
          <w:lang w:eastAsia="en-GB"/>
        </w:rPr>
        <w:t>particular BWP</w:t>
      </w:r>
      <w:proofErr w:type="gramEnd"/>
      <w:r w:rsidRPr="00E8742F">
        <w:rPr>
          <w:lang w:eastAsia="en-GB"/>
        </w:rPr>
        <w:t>.</w:t>
      </w:r>
    </w:p>
    <w:p w14:paraId="18319EA2" w14:textId="77777777" w:rsidR="004F4197" w:rsidRDefault="004F4197" w:rsidP="004F4197">
      <w:r>
        <w:rPr>
          <w:noProof/>
        </w:rPr>
        <w:drawing>
          <wp:inline distT="0" distB="0" distL="0" distR="0" wp14:anchorId="0C7E8A39" wp14:editId="6D897157">
            <wp:extent cx="6120765" cy="193802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1938020"/>
                    </a:xfrm>
                    <a:prstGeom prst="rect">
                      <a:avLst/>
                    </a:prstGeom>
                  </pic:spPr>
                </pic:pic>
              </a:graphicData>
            </a:graphic>
          </wp:inline>
        </w:drawing>
      </w:r>
    </w:p>
    <w:p w14:paraId="429F6679" w14:textId="77777777" w:rsidR="004F4197" w:rsidRDefault="004F4197" w:rsidP="004F4197">
      <w:r>
        <w:rPr>
          <w:noProof/>
        </w:rPr>
        <w:drawing>
          <wp:inline distT="0" distB="0" distL="0" distR="0" wp14:anchorId="4CCDFF21" wp14:editId="15C17DD1">
            <wp:extent cx="6120765" cy="22104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2210435"/>
                    </a:xfrm>
                    <a:prstGeom prst="rect">
                      <a:avLst/>
                    </a:prstGeom>
                  </pic:spPr>
                </pic:pic>
              </a:graphicData>
            </a:graphic>
          </wp:inline>
        </w:drawing>
      </w:r>
    </w:p>
    <w:p w14:paraId="782AFD94" w14:textId="77777777" w:rsidR="004F4197" w:rsidRDefault="004F4197" w:rsidP="004F4197"/>
    <w:p w14:paraId="0A396DF2" w14:textId="2FABC9DC" w:rsidR="004F4197" w:rsidRDefault="004F4197" w:rsidP="004F4197">
      <w:r w:rsidRPr="00E8742F">
        <w:t>However, for MSG3 transmission before dedicated BWP has been assigned, RACH-</w:t>
      </w:r>
      <w:proofErr w:type="spellStart"/>
      <w:r w:rsidRPr="00E8742F">
        <w:t>ConfigCommon</w:t>
      </w:r>
      <w:proofErr w:type="spellEnd"/>
      <w:r w:rsidRPr="00E8742F">
        <w:t xml:space="preserve"> is used to configure the transform precoding, RACH-</w:t>
      </w:r>
      <w:proofErr w:type="spellStart"/>
      <w:r w:rsidRPr="00E8742F">
        <w:t>ConfigCommon</w:t>
      </w:r>
      <w:proofErr w:type="spellEnd"/>
      <w:r w:rsidRPr="00E8742F">
        <w:t xml:space="preserve"> is used to configure the hopping method. The sequence hopping flag is not presented in the common part, therefore ambiguity is caused when transform precoding is enabled for MSG3. The UE might have been previously being enabled or disabled with sequence hopping with dedicated configuration that is unknown to the network at the time of sending MSG3. </w:t>
      </w:r>
      <w:r>
        <w:t xml:space="preserve">Related RRC </w:t>
      </w:r>
      <w:proofErr w:type="spellStart"/>
      <w:r>
        <w:t>signalling</w:t>
      </w:r>
      <w:proofErr w:type="spellEnd"/>
      <w:r>
        <w:t xml:space="preserve"> from 38.331</w:t>
      </w:r>
      <w:r w:rsidR="006B6EFF">
        <w:t xml:space="preserve"> </w:t>
      </w:r>
      <w:r w:rsidR="006B6EFF">
        <w:fldChar w:fldCharType="begin"/>
      </w:r>
      <w:r w:rsidR="006B6EFF">
        <w:instrText xml:space="preserve"> REF _Ref521660939 \r \h </w:instrText>
      </w:r>
      <w:r w:rsidR="006B6EFF">
        <w:fldChar w:fldCharType="separate"/>
      </w:r>
      <w:r w:rsidR="00CF6FC6">
        <w:t>[3]</w:t>
      </w:r>
      <w:r w:rsidR="006B6EFF">
        <w:fldChar w:fldCharType="end"/>
      </w:r>
      <w:r>
        <w:t xml:space="preserve"> are pasted below.</w:t>
      </w:r>
    </w:p>
    <w:p w14:paraId="583B9B67" w14:textId="77777777" w:rsidR="004F4197" w:rsidRDefault="004F4197" w:rsidP="004F4197">
      <w:r>
        <w:rPr>
          <w:noProof/>
        </w:rPr>
        <w:drawing>
          <wp:inline distT="0" distB="0" distL="0" distR="0" wp14:anchorId="3B0472D3" wp14:editId="34B5CF76">
            <wp:extent cx="6120765" cy="3176905"/>
            <wp:effectExtent l="0" t="0" r="0" b="4445"/>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3176905"/>
                    </a:xfrm>
                    <a:prstGeom prst="rect">
                      <a:avLst/>
                    </a:prstGeom>
                  </pic:spPr>
                </pic:pic>
              </a:graphicData>
            </a:graphic>
          </wp:inline>
        </w:drawing>
      </w:r>
    </w:p>
    <w:p w14:paraId="01C5AAFE" w14:textId="77777777" w:rsidR="004F4197" w:rsidRDefault="004F4197" w:rsidP="004F4197">
      <w:r>
        <w:rPr>
          <w:noProof/>
        </w:rPr>
        <w:drawing>
          <wp:inline distT="0" distB="0" distL="0" distR="0" wp14:anchorId="3DE4AE4B" wp14:editId="08FF5794">
            <wp:extent cx="6120765" cy="1652270"/>
            <wp:effectExtent l="0" t="0" r="0" b="508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1652270"/>
                    </a:xfrm>
                    <a:prstGeom prst="rect">
                      <a:avLst/>
                    </a:prstGeom>
                  </pic:spPr>
                </pic:pic>
              </a:graphicData>
            </a:graphic>
          </wp:inline>
        </w:drawing>
      </w:r>
    </w:p>
    <w:p w14:paraId="173D8D52" w14:textId="77777777" w:rsidR="004F4197" w:rsidRDefault="004F4197" w:rsidP="004F4197"/>
    <w:p w14:paraId="2F633B5D" w14:textId="77777777" w:rsidR="004F4197" w:rsidRDefault="004F4197" w:rsidP="004F4197"/>
    <w:p w14:paraId="0CE92E96" w14:textId="77777777" w:rsidR="004F4197" w:rsidRDefault="004F4197" w:rsidP="004F4197"/>
    <w:p w14:paraId="68ACF520" w14:textId="77777777" w:rsidR="004F4197" w:rsidRDefault="004F4197" w:rsidP="004F4197">
      <w:r>
        <w:rPr>
          <w:noProof/>
        </w:rPr>
        <w:drawing>
          <wp:inline distT="0" distB="0" distL="0" distR="0" wp14:anchorId="46CF848F" wp14:editId="221D39D8">
            <wp:extent cx="6120765" cy="11512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1151255"/>
                    </a:xfrm>
                    <a:prstGeom prst="rect">
                      <a:avLst/>
                    </a:prstGeom>
                  </pic:spPr>
                </pic:pic>
              </a:graphicData>
            </a:graphic>
          </wp:inline>
        </w:drawing>
      </w:r>
    </w:p>
    <w:p w14:paraId="4E44B526" w14:textId="77777777" w:rsidR="004F4197" w:rsidRDefault="004F4197" w:rsidP="004F4197"/>
    <w:p w14:paraId="3CE65B8E" w14:textId="77777777" w:rsidR="004F4197" w:rsidRDefault="004F4197" w:rsidP="004F4197">
      <w:r>
        <w:rPr>
          <w:noProof/>
        </w:rPr>
        <w:drawing>
          <wp:inline distT="0" distB="0" distL="0" distR="0" wp14:anchorId="5640C96B" wp14:editId="0E7BDF52">
            <wp:extent cx="6120765" cy="1407160"/>
            <wp:effectExtent l="0" t="0" r="0" b="254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1407160"/>
                    </a:xfrm>
                    <a:prstGeom prst="rect">
                      <a:avLst/>
                    </a:prstGeom>
                  </pic:spPr>
                </pic:pic>
              </a:graphicData>
            </a:graphic>
          </wp:inline>
        </w:drawing>
      </w:r>
    </w:p>
    <w:p w14:paraId="6C532DE0" w14:textId="77777777" w:rsidR="004F4197" w:rsidRDefault="004F4197" w:rsidP="004F4197">
      <w:r>
        <w:rPr>
          <w:noProof/>
        </w:rPr>
        <w:drawing>
          <wp:inline distT="0" distB="0" distL="0" distR="0" wp14:anchorId="41331146" wp14:editId="5F2A8504">
            <wp:extent cx="6120765" cy="2491740"/>
            <wp:effectExtent l="0" t="0" r="0" b="381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2491740"/>
                    </a:xfrm>
                    <a:prstGeom prst="rect">
                      <a:avLst/>
                    </a:prstGeom>
                  </pic:spPr>
                </pic:pic>
              </a:graphicData>
            </a:graphic>
          </wp:inline>
        </w:drawing>
      </w:r>
    </w:p>
    <w:p w14:paraId="4E13DBAB" w14:textId="77777777" w:rsidR="004F4197" w:rsidRDefault="004F4197" w:rsidP="004F4197"/>
    <w:p w14:paraId="6ADEFB2C" w14:textId="77777777" w:rsidR="004F4197" w:rsidRDefault="004F4197" w:rsidP="004F4197">
      <w:r>
        <w:rPr>
          <w:noProof/>
        </w:rPr>
        <w:drawing>
          <wp:inline distT="0" distB="0" distL="0" distR="0" wp14:anchorId="7D3DDB71" wp14:editId="49187AF5">
            <wp:extent cx="6120765" cy="2583180"/>
            <wp:effectExtent l="0" t="0" r="0" b="762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583180"/>
                    </a:xfrm>
                    <a:prstGeom prst="rect">
                      <a:avLst/>
                    </a:prstGeom>
                  </pic:spPr>
                </pic:pic>
              </a:graphicData>
            </a:graphic>
          </wp:inline>
        </w:drawing>
      </w:r>
    </w:p>
    <w:p w14:paraId="0756AED7" w14:textId="77777777" w:rsidR="004F4197" w:rsidRDefault="004F4197" w:rsidP="004F4197"/>
    <w:p w14:paraId="237E184B" w14:textId="77777777" w:rsidR="004F4197" w:rsidRPr="00E8742F" w:rsidRDefault="004F4197" w:rsidP="004F4197">
      <w:pPr>
        <w:pStyle w:val="Observation"/>
        <w:overflowPunct w:val="0"/>
        <w:autoSpaceDE w:val="0"/>
        <w:autoSpaceDN w:val="0"/>
        <w:adjustRightInd w:val="0"/>
        <w:spacing w:line="240" w:lineRule="auto"/>
        <w:textAlignment w:val="baseline"/>
      </w:pPr>
      <w:bookmarkStart w:id="10" w:name="_Toc521520196"/>
      <w:bookmarkStart w:id="11" w:name="_Toc521707032"/>
      <w:r w:rsidRPr="00E8742F">
        <w:t xml:space="preserve">Group </w:t>
      </w:r>
      <w:proofErr w:type="gramStart"/>
      <w:r w:rsidRPr="00E8742F">
        <w:t>hopping</w:t>
      </w:r>
      <w:proofErr w:type="gramEnd"/>
      <w:r w:rsidRPr="00E8742F">
        <w:t xml:space="preserve"> or sequence hopping is used for generating sequences when transform precoding is enabled. The selection of hopping can be indicated with 2 separate flags in </w:t>
      </w:r>
      <w:proofErr w:type="gramStart"/>
      <w:r w:rsidRPr="00E8742F">
        <w:t>a</w:t>
      </w:r>
      <w:proofErr w:type="gramEnd"/>
      <w:r w:rsidRPr="00E8742F">
        <w:t xml:space="preserve"> RRC message in dedicated </w:t>
      </w:r>
      <w:proofErr w:type="spellStart"/>
      <w:r w:rsidRPr="00E8742F">
        <w:t>signalling</w:t>
      </w:r>
      <w:proofErr w:type="spellEnd"/>
      <w:r w:rsidRPr="00E8742F">
        <w:t>.</w:t>
      </w:r>
      <w:bookmarkEnd w:id="10"/>
      <w:bookmarkEnd w:id="11"/>
      <w:r w:rsidRPr="00E8742F">
        <w:t xml:space="preserve"> </w:t>
      </w:r>
    </w:p>
    <w:p w14:paraId="3776B2D7" w14:textId="77777777" w:rsidR="004F4197" w:rsidRPr="00E8742F" w:rsidRDefault="004F4197" w:rsidP="004F4197">
      <w:pPr>
        <w:pStyle w:val="Observation"/>
        <w:overflowPunct w:val="0"/>
        <w:autoSpaceDE w:val="0"/>
        <w:autoSpaceDN w:val="0"/>
        <w:adjustRightInd w:val="0"/>
        <w:spacing w:line="240" w:lineRule="auto"/>
        <w:textAlignment w:val="baseline"/>
      </w:pPr>
      <w:bookmarkStart w:id="12" w:name="_Toc521520197"/>
      <w:bookmarkStart w:id="13" w:name="_Toc521707033"/>
      <w:r w:rsidRPr="00E8742F">
        <w:t xml:space="preserve">Sequence Hopping can only be enabled by dedicated </w:t>
      </w:r>
      <w:proofErr w:type="spellStart"/>
      <w:r w:rsidRPr="00E8742F">
        <w:t>signalling</w:t>
      </w:r>
      <w:proofErr w:type="spellEnd"/>
      <w:r w:rsidRPr="00E8742F">
        <w:t xml:space="preserve"> (not in SIB). This is done in PUSCH-Config=&gt; DMRS-</w:t>
      </w:r>
      <w:proofErr w:type="spellStart"/>
      <w:r w:rsidRPr="00E8742F">
        <w:t>UplinkConfig</w:t>
      </w:r>
      <w:proofErr w:type="spellEnd"/>
      <w:r w:rsidRPr="00E8742F">
        <w:t xml:space="preserve"> =&gt; </w:t>
      </w:r>
      <w:proofErr w:type="spellStart"/>
      <w:r w:rsidRPr="00E8742F">
        <w:t>sequenceHoppingEnabled</w:t>
      </w:r>
      <w:proofErr w:type="spellEnd"/>
      <w:r w:rsidRPr="00E8742F">
        <w:t xml:space="preserve">. In other words, PUSCH sequence hopping is not available before the first dedicated RRC (re)configuration. Sequence </w:t>
      </w:r>
      <w:r w:rsidRPr="00E8742F">
        <w:rPr>
          <w:bCs w:val="0"/>
        </w:rPr>
        <w:t>Group</w:t>
      </w:r>
      <w:r w:rsidRPr="00E8742F">
        <w:t xml:space="preserve"> Hopping can be configured on cell level through system information.</w:t>
      </w:r>
      <w:bookmarkEnd w:id="12"/>
      <w:bookmarkEnd w:id="13"/>
      <w:r w:rsidRPr="00E8742F">
        <w:t xml:space="preserve"> </w:t>
      </w:r>
    </w:p>
    <w:p w14:paraId="22B8725F" w14:textId="77777777" w:rsidR="004F4197" w:rsidRPr="00E8742F" w:rsidRDefault="004F4197" w:rsidP="004F4197">
      <w:pPr>
        <w:pStyle w:val="Observation"/>
        <w:numPr>
          <w:ilvl w:val="0"/>
          <w:numId w:val="0"/>
        </w:numPr>
      </w:pPr>
    </w:p>
    <w:p w14:paraId="19085A97" w14:textId="77777777" w:rsidR="004F4197" w:rsidRPr="00E8742F" w:rsidRDefault="004F4197" w:rsidP="004F4197">
      <w:proofErr w:type="spellStart"/>
      <w:r w:rsidRPr="00E8742F">
        <w:rPr>
          <w:i/>
        </w:rPr>
        <w:t>mcs-TableTransformPrecoding</w:t>
      </w:r>
      <w:proofErr w:type="spellEnd"/>
      <w:r w:rsidRPr="00E8742F">
        <w:t xml:space="preserve"> is a parameter that is needed to select the transform precoding </w:t>
      </w:r>
      <w:proofErr w:type="spellStart"/>
      <w:r w:rsidRPr="00E8742F">
        <w:t>mcs</w:t>
      </w:r>
      <w:proofErr w:type="spellEnd"/>
      <w:r w:rsidRPr="00E8742F">
        <w:t xml:space="preserve"> table which is configured only via dedicated </w:t>
      </w:r>
      <w:proofErr w:type="spellStart"/>
      <w:r w:rsidRPr="00E8742F">
        <w:t>signalling</w:t>
      </w:r>
      <w:proofErr w:type="spellEnd"/>
      <w:r w:rsidRPr="00E8742F">
        <w:t xml:space="preserve"> in PUSCH-Config.</w:t>
      </w:r>
    </w:p>
    <w:p w14:paraId="70880F8B" w14:textId="77777777" w:rsidR="004F4197" w:rsidRDefault="004F4197" w:rsidP="004F4197">
      <w:r>
        <w:rPr>
          <w:noProof/>
        </w:rPr>
        <w:drawing>
          <wp:inline distT="0" distB="0" distL="0" distR="0" wp14:anchorId="4B31DB0D" wp14:editId="52AD5797">
            <wp:extent cx="6120765" cy="2075815"/>
            <wp:effectExtent l="0" t="0" r="0" b="63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765" cy="2075815"/>
                    </a:xfrm>
                    <a:prstGeom prst="rect">
                      <a:avLst/>
                    </a:prstGeom>
                  </pic:spPr>
                </pic:pic>
              </a:graphicData>
            </a:graphic>
          </wp:inline>
        </w:drawing>
      </w:r>
    </w:p>
    <w:p w14:paraId="2EC94CA5" w14:textId="77777777" w:rsidR="004F4197" w:rsidRDefault="004F4197" w:rsidP="004F4197">
      <w:r>
        <w:rPr>
          <w:noProof/>
        </w:rPr>
        <w:drawing>
          <wp:inline distT="0" distB="0" distL="0" distR="0" wp14:anchorId="5F061BD6" wp14:editId="0866D4BC">
            <wp:extent cx="6120765" cy="221488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2214880"/>
                    </a:xfrm>
                    <a:prstGeom prst="rect">
                      <a:avLst/>
                    </a:prstGeom>
                  </pic:spPr>
                </pic:pic>
              </a:graphicData>
            </a:graphic>
          </wp:inline>
        </w:drawing>
      </w:r>
    </w:p>
    <w:p w14:paraId="7B8E273C" w14:textId="77777777" w:rsidR="004F4197" w:rsidRPr="00E8742F" w:rsidRDefault="004F4197" w:rsidP="004F4197">
      <w:pPr>
        <w:pStyle w:val="Observation"/>
        <w:overflowPunct w:val="0"/>
        <w:autoSpaceDE w:val="0"/>
        <w:autoSpaceDN w:val="0"/>
        <w:adjustRightInd w:val="0"/>
        <w:spacing w:line="240" w:lineRule="auto"/>
        <w:textAlignment w:val="baseline"/>
      </w:pPr>
      <w:bookmarkStart w:id="14" w:name="_Hlk521519080"/>
      <w:bookmarkStart w:id="15" w:name="_Toc521520198"/>
      <w:bookmarkStart w:id="16" w:name="_Toc521707034"/>
      <w:proofErr w:type="spellStart"/>
      <w:r w:rsidRPr="00E8742F">
        <w:t>Mcs-tableTranformPrecoder</w:t>
      </w:r>
      <w:proofErr w:type="spellEnd"/>
      <w:r w:rsidRPr="00E8742F">
        <w:t xml:space="preserve"> can only be enabled by dedicated </w:t>
      </w:r>
      <w:proofErr w:type="spellStart"/>
      <w:r w:rsidRPr="00E8742F">
        <w:t>signalling</w:t>
      </w:r>
      <w:bookmarkEnd w:id="14"/>
      <w:bookmarkEnd w:id="15"/>
      <w:bookmarkEnd w:id="16"/>
      <w:proofErr w:type="spellEnd"/>
    </w:p>
    <w:p w14:paraId="17842C13" w14:textId="77777777" w:rsidR="004F4197" w:rsidRPr="00E8742F" w:rsidRDefault="004F4197" w:rsidP="004F4197">
      <w:pPr>
        <w:pStyle w:val="Observation"/>
        <w:numPr>
          <w:ilvl w:val="0"/>
          <w:numId w:val="0"/>
        </w:numPr>
        <w:ind w:left="1701"/>
      </w:pPr>
    </w:p>
    <w:p w14:paraId="449B915F" w14:textId="77777777" w:rsidR="004F4197" w:rsidRPr="00E8742F" w:rsidRDefault="004F4197" w:rsidP="004F4197">
      <w:r w:rsidRPr="00E8742F">
        <w:t xml:space="preserve">For MSG3, before dedicated signal has been received in UE, the transform precoding can be enabled in SIB1, to clarify the expected </w:t>
      </w:r>
      <w:proofErr w:type="spellStart"/>
      <w:r w:rsidRPr="00E8742F">
        <w:t>behaviour</w:t>
      </w:r>
      <w:proofErr w:type="spellEnd"/>
      <w:r w:rsidRPr="00E8742F">
        <w:t xml:space="preserve"> so that the network and UE have same understanding on the applied configurations for transform precoding we propose for an explicit interpretation of the group hopping and </w:t>
      </w:r>
      <w:proofErr w:type="spellStart"/>
      <w:r w:rsidRPr="00E8742F">
        <w:t>mcs</w:t>
      </w:r>
      <w:proofErr w:type="spellEnd"/>
      <w:r w:rsidRPr="00E8742F">
        <w:t xml:space="preserve"> table selection at the time transform precoding is enabled in MSG3.</w:t>
      </w:r>
    </w:p>
    <w:p w14:paraId="1F24B365" w14:textId="77777777" w:rsidR="004F4197" w:rsidRPr="00E8742F" w:rsidRDefault="004F4197" w:rsidP="004F4197"/>
    <w:p w14:paraId="5E02E0E9" w14:textId="77777777" w:rsidR="004F4197" w:rsidRPr="00E8742F" w:rsidRDefault="004F4197" w:rsidP="00307248">
      <w:pPr>
        <w:pStyle w:val="Proposal"/>
        <w:tabs>
          <w:tab w:val="clear" w:pos="1304"/>
        </w:tabs>
        <w:overflowPunct w:val="0"/>
        <w:autoSpaceDE w:val="0"/>
        <w:autoSpaceDN w:val="0"/>
        <w:adjustRightInd w:val="0"/>
        <w:spacing w:line="240" w:lineRule="auto"/>
        <w:ind w:left="1701" w:hanging="1701"/>
        <w:textAlignment w:val="baseline"/>
        <w:rPr>
          <w:rFonts w:cs="Arial"/>
        </w:rPr>
      </w:pPr>
      <w:bookmarkStart w:id="17" w:name="_Toc521574786"/>
      <w:bookmarkStart w:id="18" w:name="_Toc521707046"/>
      <w:r w:rsidRPr="00E8742F">
        <w:rPr>
          <w:rFonts w:cs="Arial"/>
        </w:rPr>
        <w:t xml:space="preserve">For MSG3 transmission and retransmission, when transform precoding is enabled, UE ignores the previously configured UE-specific parameters by dedicated </w:t>
      </w:r>
      <w:proofErr w:type="spellStart"/>
      <w:r w:rsidRPr="00E8742F">
        <w:rPr>
          <w:rFonts w:cs="Arial"/>
        </w:rPr>
        <w:t>signalling</w:t>
      </w:r>
      <w:proofErr w:type="spellEnd"/>
      <w:r w:rsidRPr="00E8742F">
        <w:rPr>
          <w:rFonts w:cs="Arial"/>
        </w:rPr>
        <w:t xml:space="preserve"> (for sequence hopping and </w:t>
      </w:r>
      <w:proofErr w:type="spellStart"/>
      <w:r w:rsidRPr="00E8742F">
        <w:rPr>
          <w:rFonts w:cs="Arial"/>
        </w:rPr>
        <w:t>mcs-tableTransformProcoder</w:t>
      </w:r>
      <w:proofErr w:type="spellEnd"/>
      <w:r w:rsidRPr="00E8742F">
        <w:rPr>
          <w:rFonts w:cs="Arial"/>
        </w:rPr>
        <w:t xml:space="preserve">) but only applies cell-specific parameters. Sequence hopping should be considered as disabled for DMRS sequence generation, </w:t>
      </w:r>
      <w:proofErr w:type="spellStart"/>
      <w:r w:rsidRPr="00E8742F">
        <w:rPr>
          <w:rFonts w:cs="Arial"/>
        </w:rPr>
        <w:t>mcs</w:t>
      </w:r>
      <w:proofErr w:type="spellEnd"/>
      <w:r w:rsidRPr="00E8742F">
        <w:rPr>
          <w:rFonts w:cs="Arial"/>
        </w:rPr>
        <w:t xml:space="preserve"> table for transform precoder applies the value 64QAM.</w:t>
      </w:r>
      <w:bookmarkEnd w:id="17"/>
      <w:bookmarkEnd w:id="18"/>
    </w:p>
    <w:p w14:paraId="2732A12C" w14:textId="74BB05EA" w:rsidR="004F4197" w:rsidRPr="00E8742F" w:rsidRDefault="004F4197" w:rsidP="00307248">
      <w:pPr>
        <w:pStyle w:val="Proposal"/>
        <w:numPr>
          <w:ilvl w:val="0"/>
          <w:numId w:val="0"/>
        </w:numPr>
        <w:overflowPunct w:val="0"/>
        <w:autoSpaceDE w:val="0"/>
        <w:autoSpaceDN w:val="0"/>
        <w:adjustRightInd w:val="0"/>
        <w:spacing w:line="240" w:lineRule="auto"/>
        <w:ind w:left="1701"/>
        <w:textAlignment w:val="baseline"/>
        <w:rPr>
          <w:rFonts w:cs="Arial"/>
        </w:rPr>
      </w:pPr>
      <w:bookmarkStart w:id="19" w:name="_Toc521574787"/>
      <w:bookmarkStart w:id="20" w:name="_Toc521707047"/>
      <w:proofErr w:type="spellStart"/>
      <w:r w:rsidRPr="00E8742F">
        <w:rPr>
          <w:rFonts w:cs="Arial"/>
        </w:rPr>
        <w:t>groupHoppingEnabledTransformPrecoding</w:t>
      </w:r>
      <w:proofErr w:type="spellEnd"/>
      <w:r w:rsidRPr="00E8742F">
        <w:rPr>
          <w:rFonts w:cs="Arial"/>
        </w:rPr>
        <w:t> in</w:t>
      </w:r>
      <w:r w:rsidR="00307248" w:rsidRPr="00E8742F">
        <w:rPr>
          <w:rFonts w:cs="Arial"/>
        </w:rPr>
        <w:t xml:space="preserve"> </w:t>
      </w:r>
      <w:r w:rsidRPr="00E8742F">
        <w:rPr>
          <w:rFonts w:cs="Arial"/>
        </w:rPr>
        <w:t>PUSCH-</w:t>
      </w:r>
      <w:proofErr w:type="spellStart"/>
      <w:r w:rsidRPr="00E8742F">
        <w:rPr>
          <w:rFonts w:cs="Arial"/>
        </w:rPr>
        <w:t>ConfigCommon</w:t>
      </w:r>
      <w:proofErr w:type="spellEnd"/>
      <w:r w:rsidRPr="00E8742F">
        <w:rPr>
          <w:rFonts w:cs="Arial"/>
        </w:rPr>
        <w:t xml:space="preserve"> should be interpreted as:</w:t>
      </w:r>
      <w:bookmarkEnd w:id="19"/>
      <w:bookmarkEnd w:id="20"/>
      <w:r w:rsidR="00307248" w:rsidRPr="00E8742F">
        <w:rPr>
          <w:rFonts w:cs="Arial"/>
        </w:rPr>
        <w:t xml:space="preserve"> </w:t>
      </w:r>
    </w:p>
    <w:p w14:paraId="5C5DCF94" w14:textId="77777777" w:rsidR="004F4197" w:rsidRPr="00E8742F" w:rsidRDefault="004F4197" w:rsidP="00307248">
      <w:pPr>
        <w:pStyle w:val="Proposal"/>
        <w:numPr>
          <w:ilvl w:val="0"/>
          <w:numId w:val="0"/>
        </w:numPr>
        <w:overflowPunct w:val="0"/>
        <w:autoSpaceDE w:val="0"/>
        <w:autoSpaceDN w:val="0"/>
        <w:adjustRightInd w:val="0"/>
        <w:spacing w:line="240" w:lineRule="auto"/>
        <w:ind w:left="1701"/>
        <w:textAlignment w:val="baseline"/>
        <w:rPr>
          <w:rFonts w:cs="Arial"/>
        </w:rPr>
      </w:pPr>
      <w:r w:rsidRPr="00E8742F">
        <w:rPr>
          <w:rFonts w:cs="Arial"/>
        </w:rPr>
        <w:t xml:space="preserve">        </w:t>
      </w:r>
      <w:bookmarkStart w:id="21" w:name="_Toc521707048"/>
      <w:r w:rsidRPr="00E8742F">
        <w:rPr>
          <w:rFonts w:cs="Arial"/>
        </w:rPr>
        <w:t>absent: both group hopping and sequence hopping disabled</w:t>
      </w:r>
      <w:bookmarkEnd w:id="21"/>
    </w:p>
    <w:p w14:paraId="15F13C42" w14:textId="77777777" w:rsidR="004F4197" w:rsidRPr="00E8742F" w:rsidRDefault="004F4197" w:rsidP="00307248">
      <w:pPr>
        <w:pStyle w:val="Proposal"/>
        <w:numPr>
          <w:ilvl w:val="0"/>
          <w:numId w:val="0"/>
        </w:numPr>
        <w:overflowPunct w:val="0"/>
        <w:autoSpaceDE w:val="0"/>
        <w:autoSpaceDN w:val="0"/>
        <w:adjustRightInd w:val="0"/>
        <w:spacing w:line="240" w:lineRule="auto"/>
        <w:ind w:left="1701"/>
        <w:textAlignment w:val="baseline"/>
        <w:rPr>
          <w:rFonts w:cs="Arial"/>
        </w:rPr>
      </w:pPr>
      <w:r w:rsidRPr="00E8742F">
        <w:rPr>
          <w:rFonts w:cs="Arial"/>
        </w:rPr>
        <w:t xml:space="preserve">        </w:t>
      </w:r>
      <w:bookmarkStart w:id="22" w:name="_Toc521707049"/>
      <w:r w:rsidRPr="00E8742F">
        <w:rPr>
          <w:rFonts w:cs="Arial"/>
        </w:rPr>
        <w:t>= enabled: group hopping enabled, sequence hopping disabled</w:t>
      </w:r>
      <w:bookmarkEnd w:id="22"/>
    </w:p>
    <w:p w14:paraId="62A15B22" w14:textId="77777777" w:rsidR="004F4197" w:rsidRPr="00E8742F" w:rsidRDefault="004F4197" w:rsidP="00307248">
      <w:pPr>
        <w:pStyle w:val="Proposal"/>
        <w:numPr>
          <w:ilvl w:val="0"/>
          <w:numId w:val="0"/>
        </w:numPr>
        <w:overflowPunct w:val="0"/>
        <w:autoSpaceDE w:val="0"/>
        <w:autoSpaceDN w:val="0"/>
        <w:adjustRightInd w:val="0"/>
        <w:spacing w:line="240" w:lineRule="auto"/>
        <w:ind w:left="1701"/>
        <w:textAlignment w:val="baseline"/>
        <w:rPr>
          <w:rFonts w:cs="Arial"/>
        </w:rPr>
      </w:pPr>
      <w:r w:rsidRPr="00E8742F">
        <w:rPr>
          <w:rFonts w:cs="Arial"/>
        </w:rPr>
        <w:t xml:space="preserve">        </w:t>
      </w:r>
      <w:bookmarkStart w:id="23" w:name="_Toc521707050"/>
      <w:r w:rsidRPr="00E8742F">
        <w:rPr>
          <w:rFonts w:cs="Arial"/>
        </w:rPr>
        <w:t>= disabled: group hopping disabled, sequence hopping disabled</w:t>
      </w:r>
      <w:bookmarkEnd w:id="23"/>
    </w:p>
    <w:p w14:paraId="6332192A" w14:textId="77777777" w:rsidR="004F4197" w:rsidRPr="00E8742F" w:rsidRDefault="004F4197" w:rsidP="004F4197"/>
    <w:p w14:paraId="13FC5D17" w14:textId="77777777" w:rsidR="004F4197" w:rsidRPr="00E8742F" w:rsidRDefault="004F4197" w:rsidP="004F4197">
      <w:pPr>
        <w:pStyle w:val="Proposal"/>
        <w:overflowPunct w:val="0"/>
        <w:autoSpaceDE w:val="0"/>
        <w:autoSpaceDN w:val="0"/>
        <w:adjustRightInd w:val="0"/>
        <w:spacing w:line="240" w:lineRule="auto"/>
        <w:textAlignment w:val="baseline"/>
      </w:pPr>
      <w:bookmarkStart w:id="24" w:name="_Toc521574788"/>
      <w:bookmarkStart w:id="25" w:name="_Toc521707051"/>
      <w:r w:rsidRPr="00E8742F">
        <w:rPr>
          <w:rFonts w:cs="Arial"/>
        </w:rPr>
        <w:t>Send LS to RAN2 to clarify the configurations when transform precoding get enabled for MSG3.</w:t>
      </w:r>
      <w:bookmarkEnd w:id="24"/>
      <w:bookmarkEnd w:id="25"/>
    </w:p>
    <w:p w14:paraId="538C065C" w14:textId="77777777" w:rsidR="004F4197" w:rsidRPr="00E8742F" w:rsidRDefault="004F4197" w:rsidP="004F4197">
      <w:pPr>
        <w:rPr>
          <w:rFonts w:eastAsiaTheme="minorEastAsia"/>
          <w:lang w:eastAsia="zh-CN"/>
        </w:rPr>
      </w:pPr>
    </w:p>
    <w:p w14:paraId="3DDCCA71" w14:textId="7FCA4C21" w:rsidR="004F4197" w:rsidRPr="009120C6" w:rsidRDefault="004F4197" w:rsidP="004F4197">
      <w:pPr>
        <w:rPr>
          <w:rFonts w:eastAsiaTheme="minorEastAsia"/>
          <w:lang w:eastAsia="zh-CN"/>
        </w:rPr>
      </w:pPr>
      <w:r>
        <w:rPr>
          <w:rFonts w:eastAsiaTheme="minorEastAsia"/>
          <w:lang w:eastAsia="zh-CN"/>
        </w:rPr>
        <w:t>From 38.214</w:t>
      </w:r>
      <w:r w:rsidR="00CF6FC6">
        <w:rPr>
          <w:rFonts w:eastAsiaTheme="minorEastAsia"/>
          <w:lang w:eastAsia="zh-CN"/>
        </w:rPr>
        <w:t xml:space="preserve"> </w:t>
      </w:r>
      <w:r w:rsidR="00CF6FC6">
        <w:rPr>
          <w:rFonts w:eastAsiaTheme="minorEastAsia"/>
          <w:lang w:eastAsia="zh-CN"/>
        </w:rPr>
        <w:fldChar w:fldCharType="begin"/>
      </w:r>
      <w:r w:rsidR="00CF6FC6">
        <w:rPr>
          <w:rFonts w:eastAsiaTheme="minorEastAsia"/>
          <w:lang w:eastAsia="zh-CN"/>
        </w:rPr>
        <w:instrText xml:space="preserve"> REF _Ref521661048 \r \h </w:instrText>
      </w:r>
      <w:r w:rsidR="00CF6FC6">
        <w:rPr>
          <w:rFonts w:eastAsiaTheme="minorEastAsia"/>
          <w:lang w:eastAsia="zh-CN"/>
        </w:rPr>
      </w:r>
      <w:r w:rsidR="00CF6FC6">
        <w:rPr>
          <w:rFonts w:eastAsiaTheme="minorEastAsia"/>
          <w:lang w:eastAsia="zh-CN"/>
        </w:rPr>
        <w:fldChar w:fldCharType="separate"/>
      </w:r>
      <w:r w:rsidR="00CF6FC6">
        <w:rPr>
          <w:rFonts w:eastAsiaTheme="minorEastAsia"/>
          <w:lang w:eastAsia="zh-CN"/>
        </w:rPr>
        <w:t>[4]</w:t>
      </w:r>
      <w:r w:rsidR="00CF6FC6">
        <w:rPr>
          <w:rFonts w:eastAsiaTheme="minorEastAsia"/>
          <w:lang w:eastAsia="zh-CN"/>
        </w:rPr>
        <w:fldChar w:fldCharType="end"/>
      </w:r>
      <w:r>
        <w:rPr>
          <w:rFonts w:eastAsiaTheme="minorEastAsia"/>
          <w:lang w:eastAsia="zh-CN"/>
        </w:rPr>
        <w:t xml:space="preserve"> 6.1.3</w:t>
      </w:r>
    </w:p>
    <w:p w14:paraId="5A4F34C7" w14:textId="77777777" w:rsidR="004F4197" w:rsidRDefault="004F4197" w:rsidP="004F4197">
      <w:r>
        <w:rPr>
          <w:noProof/>
        </w:rPr>
        <w:drawing>
          <wp:inline distT="0" distB="0" distL="0" distR="0" wp14:anchorId="6BFBEAAA" wp14:editId="3A6668B4">
            <wp:extent cx="4331850" cy="2683868"/>
            <wp:effectExtent l="0" t="0" r="0" b="254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72947" cy="2709330"/>
                    </a:xfrm>
                    <a:prstGeom prst="rect">
                      <a:avLst/>
                    </a:prstGeom>
                  </pic:spPr>
                </pic:pic>
              </a:graphicData>
            </a:graphic>
          </wp:inline>
        </w:drawing>
      </w:r>
    </w:p>
    <w:p w14:paraId="2BA8AD6E" w14:textId="77777777" w:rsidR="004F4197" w:rsidRDefault="004F4197" w:rsidP="004F4197"/>
    <w:p w14:paraId="01122776" w14:textId="77777777" w:rsidR="004F4197" w:rsidRPr="00E8742F" w:rsidRDefault="004F4197" w:rsidP="004F4197">
      <w:pPr>
        <w:pStyle w:val="Observation"/>
        <w:overflowPunct w:val="0"/>
        <w:autoSpaceDE w:val="0"/>
        <w:autoSpaceDN w:val="0"/>
        <w:adjustRightInd w:val="0"/>
        <w:spacing w:line="240" w:lineRule="auto"/>
        <w:textAlignment w:val="baseline"/>
      </w:pPr>
      <w:bookmarkStart w:id="26" w:name="_Toc521520199"/>
      <w:bookmarkStart w:id="27" w:name="_Toc521707035"/>
      <w:r w:rsidRPr="00E8742F">
        <w:t xml:space="preserve">The transform precoding for PUSCH transmission can be configured by msg3-transformPrecodingGroup if dedicated </w:t>
      </w:r>
      <w:proofErr w:type="spellStart"/>
      <w:r w:rsidRPr="00E8742F">
        <w:t>signalling</w:t>
      </w:r>
      <w:proofErr w:type="spellEnd"/>
      <w:r w:rsidRPr="00E8742F">
        <w:t xml:space="preserve"> not configured.</w:t>
      </w:r>
      <w:bookmarkEnd w:id="26"/>
      <w:bookmarkEnd w:id="27"/>
    </w:p>
    <w:p w14:paraId="30808CD2" w14:textId="77777777" w:rsidR="004F4197" w:rsidRPr="00E8742F" w:rsidRDefault="004F4197" w:rsidP="004F4197"/>
    <w:p w14:paraId="4EA71B8C" w14:textId="77777777" w:rsidR="004F4197" w:rsidRPr="00E8742F" w:rsidRDefault="004F4197" w:rsidP="004F4197">
      <w:pPr>
        <w:pStyle w:val="Proposal"/>
        <w:overflowPunct w:val="0"/>
        <w:autoSpaceDE w:val="0"/>
        <w:autoSpaceDN w:val="0"/>
        <w:adjustRightInd w:val="0"/>
        <w:spacing w:line="240" w:lineRule="auto"/>
        <w:textAlignment w:val="baseline"/>
      </w:pPr>
      <w:bookmarkStart w:id="28" w:name="_Toc521574789"/>
      <w:bookmarkStart w:id="29" w:name="_Toc521707052"/>
      <w:r w:rsidRPr="00E8742F">
        <w:rPr>
          <w:rFonts w:cs="Arial"/>
        </w:rPr>
        <w:t xml:space="preserve">For PUSCH transmission enabled with msg3-transformPrecoding flag, if hopping flags or </w:t>
      </w:r>
      <w:proofErr w:type="spellStart"/>
      <w:r w:rsidRPr="00E8742F">
        <w:rPr>
          <w:rFonts w:cs="Arial"/>
        </w:rPr>
        <w:t>mcs-transformPrecodingTable</w:t>
      </w:r>
      <w:proofErr w:type="spellEnd"/>
      <w:r w:rsidRPr="00E8742F">
        <w:rPr>
          <w:rFonts w:cs="Arial"/>
        </w:rPr>
        <w:t xml:space="preserve"> absent, it follows the same configuration as MSG3 transform precoding.</w:t>
      </w:r>
      <w:bookmarkEnd w:id="28"/>
      <w:bookmarkEnd w:id="29"/>
      <w:r w:rsidRPr="00E8742F">
        <w:rPr>
          <w:rFonts w:cs="Arial"/>
        </w:rPr>
        <w:t xml:space="preserve"> </w:t>
      </w:r>
    </w:p>
    <w:p w14:paraId="51540FD3" w14:textId="77777777" w:rsidR="00D0522F" w:rsidRDefault="00D0522F" w:rsidP="004F4197">
      <w:pPr>
        <w:rPr>
          <w:lang w:eastAsia="ja-JP"/>
        </w:rPr>
      </w:pPr>
    </w:p>
    <w:p w14:paraId="57A9B7CA" w14:textId="76BF7974" w:rsidR="00C01F33" w:rsidRPr="00CE0424" w:rsidRDefault="00D01ABE" w:rsidP="00CE0424">
      <w:pPr>
        <w:pStyle w:val="Heading1"/>
      </w:pPr>
      <w:r>
        <w:t xml:space="preserve">3 </w:t>
      </w:r>
      <w:r w:rsidR="00C01F33" w:rsidRPr="00CE0424">
        <w:t>Conclusion</w:t>
      </w:r>
    </w:p>
    <w:p w14:paraId="24FCB08D" w14:textId="77777777" w:rsidR="008E065E" w:rsidRPr="00E8742F" w:rsidRDefault="008E065E" w:rsidP="008E065E">
      <w:pPr>
        <w:pStyle w:val="BodyText"/>
        <w:rPr>
          <w:b/>
          <w:bCs/>
        </w:rPr>
      </w:pPr>
      <w:r w:rsidRPr="00E8742F">
        <w:t xml:space="preserve">In </w:t>
      </w:r>
      <w:r w:rsidR="007729A2" w:rsidRPr="00E8742F">
        <w:t xml:space="preserve">the previous </w:t>
      </w:r>
      <w:r w:rsidRPr="00E8742F">
        <w:t>section</w:t>
      </w:r>
      <w:r w:rsidR="007729A2" w:rsidRPr="00E8742F">
        <w:t>s</w:t>
      </w:r>
      <w:r w:rsidRPr="00E8742F">
        <w:t xml:space="preserve"> we made the following observations:</w:t>
      </w:r>
      <w:r w:rsidR="00C93814" w:rsidRPr="00E8742F">
        <w:rPr>
          <w:b/>
          <w:bCs/>
        </w:rPr>
        <w:t xml:space="preserve"> </w:t>
      </w:r>
    </w:p>
    <w:p w14:paraId="0A696726" w14:textId="329015ED" w:rsidR="00812A29" w:rsidRDefault="006F65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521707030" w:history="1">
        <w:r w:rsidR="00812A29" w:rsidRPr="00233261">
          <w:rPr>
            <w:rStyle w:val="Hyperlink"/>
            <w:noProof/>
          </w:rPr>
          <w:t>Observation 1</w:t>
        </w:r>
        <w:r w:rsidR="00812A29">
          <w:rPr>
            <w:rFonts w:asciiTheme="minorHAnsi" w:eastAsiaTheme="minorEastAsia" w:hAnsiTheme="minorHAnsi"/>
            <w:b w:val="0"/>
            <w:noProof/>
            <w:sz w:val="22"/>
            <w:lang w:eastAsia="en-US"/>
          </w:rPr>
          <w:tab/>
        </w:r>
        <w:r w:rsidR="00812A29" w:rsidRPr="00233261">
          <w:rPr>
            <w:rStyle w:val="Hyperlink"/>
            <w:noProof/>
          </w:rPr>
          <w:t>3GPP TS 38.213 V15.2.0 specifies that PRACH colliding with (or preceding) SSB is invalidated only if semi-statically configured UL/DL is used.</w:t>
        </w:r>
      </w:hyperlink>
    </w:p>
    <w:p w14:paraId="08A6C4D2" w14:textId="6801058C"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31" w:history="1">
        <w:r w:rsidRPr="00233261">
          <w:rPr>
            <w:rStyle w:val="Hyperlink"/>
            <w:noProof/>
          </w:rPr>
          <w:t>Observation 2</w:t>
        </w:r>
        <w:r>
          <w:rPr>
            <w:rFonts w:asciiTheme="minorHAnsi" w:eastAsiaTheme="minorEastAsia" w:hAnsiTheme="minorHAnsi"/>
            <w:b w:val="0"/>
            <w:noProof/>
            <w:sz w:val="22"/>
            <w:lang w:eastAsia="en-US"/>
          </w:rPr>
          <w:tab/>
        </w:r>
        <w:r w:rsidRPr="00233261">
          <w:rPr>
            <w:rStyle w:val="Hyperlink"/>
            <w:noProof/>
          </w:rPr>
          <w:t>3GPP TS 38.213 V15.2.0 gives the impression that all PRACH occasions, including invalid ones, are considered in the mapping procedure from SSBs to PRACH occasions, hence potentially leaving some SSBs without valid mapping.</w:t>
        </w:r>
      </w:hyperlink>
    </w:p>
    <w:p w14:paraId="00D95F9E" w14:textId="21DD44E4"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32" w:history="1">
        <w:r w:rsidRPr="00233261">
          <w:rPr>
            <w:rStyle w:val="Hyperlink"/>
            <w:noProof/>
          </w:rPr>
          <w:t>Observation 3</w:t>
        </w:r>
        <w:r>
          <w:rPr>
            <w:rFonts w:asciiTheme="minorHAnsi" w:eastAsiaTheme="minorEastAsia" w:hAnsiTheme="minorHAnsi"/>
            <w:b w:val="0"/>
            <w:noProof/>
            <w:sz w:val="22"/>
            <w:lang w:eastAsia="en-US"/>
          </w:rPr>
          <w:tab/>
        </w:r>
        <w:r w:rsidRPr="00233261">
          <w:rPr>
            <w:rStyle w:val="Hyperlink"/>
            <w:noProof/>
          </w:rPr>
          <w:t>Group hopping or sequence hopping is used for generating sequences when transform precoding is enabled. The selection of hopping can be indicated with 2 separate flags in a RRC message in dedicated signalling.</w:t>
        </w:r>
      </w:hyperlink>
    </w:p>
    <w:p w14:paraId="2E35F423" w14:textId="1E240A75"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33" w:history="1">
        <w:r w:rsidRPr="00233261">
          <w:rPr>
            <w:rStyle w:val="Hyperlink"/>
            <w:noProof/>
          </w:rPr>
          <w:t>Observation 4</w:t>
        </w:r>
        <w:r>
          <w:rPr>
            <w:rFonts w:asciiTheme="minorHAnsi" w:eastAsiaTheme="minorEastAsia" w:hAnsiTheme="minorHAnsi"/>
            <w:b w:val="0"/>
            <w:noProof/>
            <w:sz w:val="22"/>
            <w:lang w:eastAsia="en-US"/>
          </w:rPr>
          <w:tab/>
        </w:r>
        <w:r w:rsidRPr="00233261">
          <w:rPr>
            <w:rStyle w:val="Hyperlink"/>
            <w:noProof/>
          </w:rPr>
          <w:t>Sequence Hopping can only be enabled by dedicated signalling (not in SIB). This is done in PUSCH-Config=&gt; DMRS-UplinkConfig =&gt; sequenceHoppingEnabled. In other words, PUSCH sequence hopping is not available before the first dedicated RRC (re)configuration. Sequence Group Hopping can be configured on cell level through system information.</w:t>
        </w:r>
      </w:hyperlink>
    </w:p>
    <w:p w14:paraId="66E39DFB" w14:textId="31A2C98F"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34" w:history="1">
        <w:r w:rsidRPr="00233261">
          <w:rPr>
            <w:rStyle w:val="Hyperlink"/>
            <w:noProof/>
          </w:rPr>
          <w:t>Observation 5</w:t>
        </w:r>
        <w:r>
          <w:rPr>
            <w:rFonts w:asciiTheme="minorHAnsi" w:eastAsiaTheme="minorEastAsia" w:hAnsiTheme="minorHAnsi"/>
            <w:b w:val="0"/>
            <w:noProof/>
            <w:sz w:val="22"/>
            <w:lang w:eastAsia="en-US"/>
          </w:rPr>
          <w:tab/>
        </w:r>
        <w:r w:rsidRPr="00233261">
          <w:rPr>
            <w:rStyle w:val="Hyperlink"/>
            <w:noProof/>
          </w:rPr>
          <w:t>Mcs-tableTranformPrecoder can only be enabled by dedicated signalling</w:t>
        </w:r>
      </w:hyperlink>
    </w:p>
    <w:p w14:paraId="4530A586" w14:textId="28ABD218"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35" w:history="1">
        <w:r w:rsidRPr="00233261">
          <w:rPr>
            <w:rStyle w:val="Hyperlink"/>
            <w:noProof/>
          </w:rPr>
          <w:t>Observation 6</w:t>
        </w:r>
        <w:r>
          <w:rPr>
            <w:rFonts w:asciiTheme="minorHAnsi" w:eastAsiaTheme="minorEastAsia" w:hAnsiTheme="minorHAnsi"/>
            <w:b w:val="0"/>
            <w:noProof/>
            <w:sz w:val="22"/>
            <w:lang w:eastAsia="en-US"/>
          </w:rPr>
          <w:tab/>
        </w:r>
        <w:r w:rsidRPr="00233261">
          <w:rPr>
            <w:rStyle w:val="Hyperlink"/>
            <w:noProof/>
          </w:rPr>
          <w:t>The transform precoding for PUSCH transmission can be configured by msg3-transformPrecodingGroup if dedicated signalling not configured.</w:t>
        </w:r>
      </w:hyperlink>
    </w:p>
    <w:p w14:paraId="6983FC0B" w14:textId="69E82892" w:rsidR="006E1C82" w:rsidRDefault="006F6582" w:rsidP="008E065E">
      <w:pPr>
        <w:pStyle w:val="BodyText"/>
        <w:rPr>
          <w:b/>
          <w:bCs/>
        </w:rPr>
      </w:pPr>
      <w:r>
        <w:rPr>
          <w:b/>
          <w:bCs/>
        </w:rPr>
        <w:fldChar w:fldCharType="end"/>
      </w:r>
    </w:p>
    <w:p w14:paraId="07692324" w14:textId="77777777" w:rsidR="006E1C82" w:rsidRDefault="006E1C82" w:rsidP="008E065E">
      <w:pPr>
        <w:pStyle w:val="BodyText"/>
        <w:rPr>
          <w:b/>
          <w:bCs/>
        </w:rPr>
      </w:pPr>
    </w:p>
    <w:p w14:paraId="6775DA31" w14:textId="77777777" w:rsidR="006E1C82" w:rsidRPr="00E8742F" w:rsidRDefault="008E065E" w:rsidP="006E1C82">
      <w:pPr>
        <w:pStyle w:val="BodyText"/>
      </w:pPr>
      <w:r w:rsidRPr="00E8742F">
        <w:t xml:space="preserve">Based on the discussion in </w:t>
      </w:r>
      <w:r w:rsidR="007729A2" w:rsidRPr="00E8742F">
        <w:t xml:space="preserve">the previous </w:t>
      </w:r>
      <w:r w:rsidRPr="00E8742F">
        <w:t>section</w:t>
      </w:r>
      <w:r w:rsidR="007729A2" w:rsidRPr="00E8742F">
        <w:t>s</w:t>
      </w:r>
      <w:r w:rsidRPr="00E8742F">
        <w:t xml:space="preserve"> we propose the following:</w:t>
      </w:r>
    </w:p>
    <w:p w14:paraId="02CCE2A0" w14:textId="57842529" w:rsidR="00812A29" w:rsidRDefault="006E1C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521707042" w:history="1">
        <w:r w:rsidR="00812A29" w:rsidRPr="00F86772">
          <w:rPr>
            <w:rStyle w:val="Hyperlink"/>
            <w:noProof/>
          </w:rPr>
          <w:t>Proposal 1</w:t>
        </w:r>
        <w:r w:rsidR="00812A29">
          <w:rPr>
            <w:rFonts w:asciiTheme="minorHAnsi" w:eastAsiaTheme="minorEastAsia" w:hAnsiTheme="minorHAnsi"/>
            <w:b w:val="0"/>
            <w:noProof/>
            <w:sz w:val="22"/>
            <w:lang w:eastAsia="en-US"/>
          </w:rPr>
          <w:tab/>
        </w:r>
        <w:r w:rsidR="00812A29" w:rsidRPr="00F86772">
          <w:rPr>
            <w:rStyle w:val="Hyperlink"/>
            <w:noProof/>
          </w:rPr>
          <w:t>PRACH occasions colliding with (or preceding) SSB should be invalid whenever unpaired spectrum (TDD) is used. To this end, the provided text proposal below for 38.213, Section 8.1, should be adopted.</w:t>
        </w:r>
      </w:hyperlink>
    </w:p>
    <w:p w14:paraId="091EBE9D" w14:textId="282DBEEC"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43" w:history="1">
        <w:r w:rsidRPr="00F86772">
          <w:rPr>
            <w:rStyle w:val="Hyperlink"/>
            <w:noProof/>
          </w:rPr>
          <w:t>Proposal 2</w:t>
        </w:r>
        <w:r>
          <w:rPr>
            <w:rFonts w:asciiTheme="minorHAnsi" w:eastAsiaTheme="minorEastAsia" w:hAnsiTheme="minorHAnsi"/>
            <w:b w:val="0"/>
            <w:noProof/>
            <w:sz w:val="22"/>
            <w:lang w:eastAsia="en-US"/>
          </w:rPr>
          <w:tab/>
        </w:r>
        <w:r w:rsidRPr="00F86772">
          <w:rPr>
            <w:rStyle w:val="Hyperlink"/>
            <w:noProof/>
          </w:rPr>
          <w:t>Clarify that only valid PRACH occasions are considered in the mapping procedure from SSBs to PRACH. To this end, the provided text proposal for 38.213, Section 8.1, should be adopted.</w:t>
        </w:r>
      </w:hyperlink>
    </w:p>
    <w:p w14:paraId="7B834023" w14:textId="33A588BE"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44" w:history="1">
        <w:r w:rsidRPr="00F86772">
          <w:rPr>
            <w:rStyle w:val="Hyperlink"/>
            <w:noProof/>
          </w:rPr>
          <w:t>Proposal 3</w:t>
        </w:r>
        <w:r>
          <w:rPr>
            <w:rFonts w:asciiTheme="minorHAnsi" w:eastAsiaTheme="minorEastAsia" w:hAnsiTheme="minorHAnsi"/>
            <w:b w:val="0"/>
            <w:noProof/>
            <w:sz w:val="22"/>
            <w:lang w:eastAsia="en-US"/>
          </w:rPr>
          <w:tab/>
        </w:r>
        <w:r w:rsidRPr="00F86772">
          <w:rPr>
            <w:rStyle w:val="Hyperlink"/>
            <w:noProof/>
          </w:rPr>
          <w:t>Remove the word “uplink” before ‘slot n’ and before slot ‘n+k’ as the numbering of the slots is the same on UL and DL and it is not necessary to explicitly write it as uplink and downlink. This is in line with the agreements from RAN1#93. A corresponding TP is provided.</w:t>
        </w:r>
      </w:hyperlink>
    </w:p>
    <w:p w14:paraId="75406AE6" w14:textId="565D7AB7"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45" w:history="1">
        <w:r w:rsidRPr="00F86772">
          <w:rPr>
            <w:rStyle w:val="Hyperlink"/>
            <w:noProof/>
          </w:rPr>
          <w:t>Proposal 4</w:t>
        </w:r>
        <w:r>
          <w:rPr>
            <w:rFonts w:asciiTheme="minorHAnsi" w:eastAsiaTheme="minorEastAsia" w:hAnsiTheme="minorHAnsi"/>
            <w:b w:val="0"/>
            <w:noProof/>
            <w:sz w:val="22"/>
            <w:lang w:eastAsia="en-US"/>
          </w:rPr>
          <w:tab/>
        </w:r>
        <w:r w:rsidRPr="00F86772">
          <w:rPr>
            <w:rStyle w:val="Hyperlink"/>
            <w:noProof/>
          </w:rPr>
          <w:t>Propose to add the interpretation of ‘</w:t>
        </w:r>
        <w:r w:rsidRPr="00F86772">
          <w:rPr>
            <w:rStyle w:val="Hyperlink"/>
            <w:noProof/>
            <w:lang w:eastAsia="en-GB"/>
          </w:rPr>
          <w:t>Msg3 PUSCH frequency resource allocation</w:t>
        </w:r>
        <w:r w:rsidRPr="00F86772">
          <w:rPr>
            <w:rStyle w:val="Hyperlink"/>
            <w:noProof/>
          </w:rPr>
          <w:t>’ field of RAR grant in TS 38.213 v15.2.0 This is in line with the agreements from RAN1#93. A corresponding TP is provided.</w:t>
        </w:r>
      </w:hyperlink>
    </w:p>
    <w:p w14:paraId="4351F5B6" w14:textId="4B72D503"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46" w:history="1">
        <w:r w:rsidRPr="00F86772">
          <w:rPr>
            <w:rStyle w:val="Hyperlink"/>
            <w:rFonts w:cs="Arial"/>
            <w:noProof/>
          </w:rPr>
          <w:t>Proposal 5</w:t>
        </w:r>
        <w:r>
          <w:rPr>
            <w:rFonts w:asciiTheme="minorHAnsi" w:eastAsiaTheme="minorEastAsia" w:hAnsiTheme="minorHAnsi"/>
            <w:b w:val="0"/>
            <w:noProof/>
            <w:sz w:val="22"/>
            <w:lang w:eastAsia="en-US"/>
          </w:rPr>
          <w:tab/>
        </w:r>
        <w:r w:rsidRPr="00F86772">
          <w:rPr>
            <w:rStyle w:val="Hyperlink"/>
            <w:rFonts w:cs="Arial"/>
            <w:noProof/>
          </w:rPr>
          <w:t>For MSG3 transmission and retransmission, when transform precoding is enabled, UE ignores the previously configured UE-specific parameters by dedicated signalling (for sequence hopping and mcs-tableTransformProcoder) but only applies cell-specific parameters. Sequence hopping should be considered as disabled for DMRS sequence generation, mcs table for transform precoder applies the value 64QAM.</w:t>
        </w:r>
      </w:hyperlink>
    </w:p>
    <w:p w14:paraId="3A4C2035" w14:textId="594F82C4" w:rsidR="00812A29" w:rsidRDefault="00812A29" w:rsidP="00812A29">
      <w:pPr>
        <w:pStyle w:val="TableofFigures"/>
        <w:tabs>
          <w:tab w:val="right" w:leader="dot" w:pos="9629"/>
        </w:tabs>
        <w:ind w:left="3402"/>
        <w:rPr>
          <w:rFonts w:asciiTheme="minorHAnsi" w:eastAsiaTheme="minorEastAsia" w:hAnsiTheme="minorHAnsi"/>
          <w:b w:val="0"/>
          <w:noProof/>
          <w:sz w:val="22"/>
          <w:lang w:eastAsia="en-US"/>
        </w:rPr>
      </w:pPr>
      <w:hyperlink w:anchor="_Toc521707047" w:history="1">
        <w:r w:rsidRPr="00F86772">
          <w:rPr>
            <w:rStyle w:val="Hyperlink"/>
            <w:rFonts w:cs="Arial"/>
            <w:noProof/>
          </w:rPr>
          <w:t>groupHoppingEnabledTransformPrecoding in PUSCH-ConfigCommon should be interpreted as:</w:t>
        </w:r>
      </w:hyperlink>
    </w:p>
    <w:p w14:paraId="157C69F9" w14:textId="127B0E0B" w:rsidR="00812A29" w:rsidRDefault="00812A29" w:rsidP="00812A29">
      <w:pPr>
        <w:pStyle w:val="TableofFigures"/>
        <w:tabs>
          <w:tab w:val="right" w:leader="dot" w:pos="9629"/>
        </w:tabs>
        <w:ind w:left="3969"/>
        <w:rPr>
          <w:rFonts w:asciiTheme="minorHAnsi" w:eastAsiaTheme="minorEastAsia" w:hAnsiTheme="minorHAnsi"/>
          <w:b w:val="0"/>
          <w:noProof/>
          <w:sz w:val="22"/>
          <w:lang w:eastAsia="en-US"/>
        </w:rPr>
      </w:pPr>
      <w:hyperlink w:anchor="_Toc521707048" w:history="1">
        <w:r w:rsidRPr="00F86772">
          <w:rPr>
            <w:rStyle w:val="Hyperlink"/>
            <w:rFonts w:cs="Arial"/>
            <w:noProof/>
          </w:rPr>
          <w:t>absent: both group hopping and sequence hopping disabled</w:t>
        </w:r>
      </w:hyperlink>
    </w:p>
    <w:p w14:paraId="60FA2B54" w14:textId="61EEDF0E" w:rsidR="00812A29" w:rsidRDefault="00812A29" w:rsidP="00812A29">
      <w:pPr>
        <w:pStyle w:val="TableofFigures"/>
        <w:tabs>
          <w:tab w:val="right" w:leader="dot" w:pos="9629"/>
        </w:tabs>
        <w:ind w:left="3969"/>
        <w:rPr>
          <w:rFonts w:asciiTheme="minorHAnsi" w:eastAsiaTheme="minorEastAsia" w:hAnsiTheme="minorHAnsi"/>
          <w:b w:val="0"/>
          <w:noProof/>
          <w:sz w:val="22"/>
          <w:lang w:eastAsia="en-US"/>
        </w:rPr>
      </w:pPr>
      <w:hyperlink w:anchor="_Toc521707049" w:history="1">
        <w:r w:rsidRPr="00F86772">
          <w:rPr>
            <w:rStyle w:val="Hyperlink"/>
            <w:rFonts w:cs="Arial"/>
            <w:noProof/>
          </w:rPr>
          <w:t>= enabled: group hopping enabled, sequence hopping disabled</w:t>
        </w:r>
      </w:hyperlink>
    </w:p>
    <w:p w14:paraId="785D265B" w14:textId="4866CF02" w:rsidR="00812A29" w:rsidRDefault="00812A29" w:rsidP="00812A29">
      <w:pPr>
        <w:pStyle w:val="TableofFigures"/>
        <w:tabs>
          <w:tab w:val="right" w:leader="dot" w:pos="9629"/>
        </w:tabs>
        <w:ind w:left="3969"/>
        <w:rPr>
          <w:rFonts w:asciiTheme="minorHAnsi" w:eastAsiaTheme="minorEastAsia" w:hAnsiTheme="minorHAnsi"/>
          <w:b w:val="0"/>
          <w:noProof/>
          <w:sz w:val="22"/>
          <w:lang w:eastAsia="en-US"/>
        </w:rPr>
      </w:pPr>
      <w:hyperlink w:anchor="_Toc521707050" w:history="1">
        <w:r w:rsidRPr="00F86772">
          <w:rPr>
            <w:rStyle w:val="Hyperlink"/>
            <w:rFonts w:cs="Arial"/>
            <w:noProof/>
          </w:rPr>
          <w:t>= disabled: group hopping disabled, sequence hopping disabled</w:t>
        </w:r>
      </w:hyperlink>
    </w:p>
    <w:p w14:paraId="28956007" w14:textId="1637FD66"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51" w:history="1">
        <w:r w:rsidRPr="00F86772">
          <w:rPr>
            <w:rStyle w:val="Hyperlink"/>
            <w:noProof/>
          </w:rPr>
          <w:t>Proposal 6</w:t>
        </w:r>
        <w:r>
          <w:rPr>
            <w:rFonts w:asciiTheme="minorHAnsi" w:eastAsiaTheme="minorEastAsia" w:hAnsiTheme="minorHAnsi"/>
            <w:b w:val="0"/>
            <w:noProof/>
            <w:sz w:val="22"/>
            <w:lang w:eastAsia="en-US"/>
          </w:rPr>
          <w:tab/>
        </w:r>
        <w:r w:rsidRPr="00F86772">
          <w:rPr>
            <w:rStyle w:val="Hyperlink"/>
            <w:rFonts w:cs="Arial"/>
            <w:noProof/>
          </w:rPr>
          <w:t>Send LS to RAN2 to clarify the configurations when transform precoding get enabled for MSG3.</w:t>
        </w:r>
      </w:hyperlink>
    </w:p>
    <w:p w14:paraId="0591C6D6" w14:textId="272A5BCE" w:rsidR="00812A29" w:rsidRDefault="00812A29">
      <w:pPr>
        <w:pStyle w:val="TableofFigures"/>
        <w:tabs>
          <w:tab w:val="right" w:leader="dot" w:pos="9629"/>
        </w:tabs>
        <w:rPr>
          <w:rFonts w:asciiTheme="minorHAnsi" w:eastAsiaTheme="minorEastAsia" w:hAnsiTheme="minorHAnsi"/>
          <w:b w:val="0"/>
          <w:noProof/>
          <w:sz w:val="22"/>
          <w:lang w:eastAsia="en-US"/>
        </w:rPr>
      </w:pPr>
      <w:hyperlink w:anchor="_Toc521707052" w:history="1">
        <w:r w:rsidRPr="00F86772">
          <w:rPr>
            <w:rStyle w:val="Hyperlink"/>
            <w:noProof/>
          </w:rPr>
          <w:t>Proposal 7</w:t>
        </w:r>
        <w:r>
          <w:rPr>
            <w:rFonts w:asciiTheme="minorHAnsi" w:eastAsiaTheme="minorEastAsia" w:hAnsiTheme="minorHAnsi"/>
            <w:b w:val="0"/>
            <w:noProof/>
            <w:sz w:val="22"/>
            <w:lang w:eastAsia="en-US"/>
          </w:rPr>
          <w:tab/>
        </w:r>
        <w:r w:rsidRPr="00F86772">
          <w:rPr>
            <w:rStyle w:val="Hyperlink"/>
            <w:rFonts w:cs="Arial"/>
            <w:noProof/>
          </w:rPr>
          <w:t>For PUSCH transmission enabled with msg3-transformPrecoding flag, if hopping flags or mcs-transformPrecodingTable absent, it follows the same configuration as MSG3 transform precoding.</w:t>
        </w:r>
      </w:hyperlink>
    </w:p>
    <w:p w14:paraId="479F5B07" w14:textId="1F57B524" w:rsidR="00C01F33" w:rsidRPr="00853431" w:rsidRDefault="006E1C82" w:rsidP="00853431">
      <w:pPr>
        <w:pStyle w:val="BodyText"/>
        <w:rPr>
          <w:b/>
          <w:bCs/>
        </w:rPr>
      </w:pPr>
      <w:r>
        <w:rPr>
          <w:b/>
          <w:bCs/>
        </w:rPr>
        <w:fldChar w:fldCharType="end"/>
      </w:r>
      <w:r w:rsidRPr="00CE0424">
        <w:rPr>
          <w:b/>
          <w:bCs/>
        </w:rPr>
        <w:t xml:space="preserve"> </w:t>
      </w:r>
      <w:bookmarkStart w:id="30" w:name="_GoBack"/>
      <w:bookmarkEnd w:id="30"/>
    </w:p>
    <w:p w14:paraId="4773E439" w14:textId="77777777" w:rsidR="00F507D1" w:rsidRPr="00CE0424" w:rsidRDefault="00F507D1" w:rsidP="00CE0424">
      <w:pPr>
        <w:pStyle w:val="Heading1"/>
      </w:pPr>
      <w:bookmarkStart w:id="31" w:name="_In-sequence_SDU_delivery"/>
      <w:bookmarkEnd w:id="31"/>
      <w:r w:rsidRPr="00CE0424">
        <w:t>References</w:t>
      </w:r>
    </w:p>
    <w:p w14:paraId="59E31306" w14:textId="0FF12210" w:rsidR="00831938" w:rsidRDefault="00831938" w:rsidP="00831938">
      <w:pPr>
        <w:pStyle w:val="Reference"/>
      </w:pPr>
      <w:bookmarkStart w:id="32" w:name="_Ref521404802"/>
      <w:bookmarkStart w:id="33" w:name="_Ref174151459"/>
      <w:bookmarkStart w:id="34" w:name="_Ref189809556"/>
      <w:r w:rsidRPr="00E8742F">
        <w:t>3GPP TS 38.213, “Physical layer procedures for control”, V15.2.0, June 29</w:t>
      </w:r>
      <w:r w:rsidR="005F4E56" w:rsidRPr="00E8742F">
        <w:t>th</w:t>
      </w:r>
      <w:r w:rsidRPr="00E8742F">
        <w:t>, 2018.</w:t>
      </w:r>
      <w:bookmarkEnd w:id="32"/>
    </w:p>
    <w:p w14:paraId="30B46979" w14:textId="0E72EEE5" w:rsidR="00766919" w:rsidRDefault="00766919" w:rsidP="00766919">
      <w:pPr>
        <w:pStyle w:val="Reference"/>
      </w:pPr>
      <w:bookmarkStart w:id="35" w:name="_Ref521660714"/>
      <w:r w:rsidRPr="00E8742F">
        <w:t>3GPP TS 38.21</w:t>
      </w:r>
      <w:r>
        <w:t>1</w:t>
      </w:r>
      <w:r w:rsidRPr="00E8742F">
        <w:t>, “</w:t>
      </w:r>
      <w:r w:rsidRPr="00766919">
        <w:t>Physical channels and modulation</w:t>
      </w:r>
      <w:r w:rsidRPr="00E8742F">
        <w:t>”, V15.2.0, June 29th, 2018.</w:t>
      </w:r>
      <w:bookmarkEnd w:id="35"/>
    </w:p>
    <w:p w14:paraId="6A437A5D" w14:textId="69A0B862" w:rsidR="006B6EFF" w:rsidRDefault="006B6EFF" w:rsidP="00766919">
      <w:pPr>
        <w:pStyle w:val="Reference"/>
      </w:pPr>
      <w:bookmarkStart w:id="36" w:name="_Ref521660939"/>
      <w:r w:rsidRPr="00216F88">
        <w:rPr>
          <w:lang w:eastAsia="ko-KR"/>
        </w:rPr>
        <w:t>3GPP TS 38.331: "NR; Radio Resource Control (RRC); Protocol specification</w:t>
      </w:r>
      <w:r w:rsidRPr="00E8742F">
        <w:t>”, V15.2.0, June 29th, 2018.</w:t>
      </w:r>
      <w:bookmarkEnd w:id="36"/>
    </w:p>
    <w:p w14:paraId="55CE6988" w14:textId="4502725F" w:rsidR="00165259" w:rsidRPr="00E8742F" w:rsidRDefault="00165259" w:rsidP="007A6AEB">
      <w:pPr>
        <w:pStyle w:val="Reference"/>
      </w:pPr>
      <w:bookmarkStart w:id="37" w:name="_Ref521661048"/>
      <w:r>
        <w:t xml:space="preserve">3GPP TS 38.214: </w:t>
      </w:r>
      <w:r w:rsidRPr="00C12953">
        <w:t>"</w:t>
      </w:r>
      <w:r>
        <w:t xml:space="preserve">NR; </w:t>
      </w:r>
      <w:r w:rsidRPr="003950C5">
        <w:t>Physical layer procedures</w:t>
      </w:r>
      <w:r>
        <w:t xml:space="preserve"> for data</w:t>
      </w:r>
      <w:r w:rsidDel="00221F55">
        <w:t xml:space="preserve"> </w:t>
      </w:r>
      <w:r w:rsidRPr="00C12953">
        <w:t>"</w:t>
      </w:r>
      <w:r w:rsidRPr="00E8742F">
        <w:t>, V15.2.0, June 29th, 2018.</w:t>
      </w:r>
      <w:bookmarkEnd w:id="37"/>
    </w:p>
    <w:bookmarkEnd w:id="33"/>
    <w:bookmarkEnd w:id="34"/>
    <w:p w14:paraId="37A7D815" w14:textId="77777777" w:rsidR="003A7EF3" w:rsidRPr="00E8742F" w:rsidRDefault="003A7EF3" w:rsidP="00CE0424">
      <w:pPr>
        <w:pStyle w:val="BodyText"/>
      </w:pPr>
    </w:p>
    <w:sectPr w:rsidR="003A7EF3" w:rsidRPr="00E8742F" w:rsidSect="00C473A5">
      <w:headerReference w:type="even" r:id="rId43"/>
      <w:footerReference w:type="default" r:id="rId4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75E573" w14:textId="77777777" w:rsidR="000C2C2B" w:rsidRDefault="000C2C2B">
      <w:r>
        <w:separator/>
      </w:r>
    </w:p>
  </w:endnote>
  <w:endnote w:type="continuationSeparator" w:id="0">
    <w:p w14:paraId="599ACCFF" w14:textId="77777777" w:rsidR="000C2C2B" w:rsidRDefault="000C2C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Gautami">
    <w:panose1 w:val="020B0502040204020203"/>
    <w:charset w:val="00"/>
    <w:family w:val="swiss"/>
    <w:pitch w:val="variable"/>
    <w:sig w:usb0="002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D09F8F"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BBE8EA" w14:textId="77777777" w:rsidR="000C2C2B" w:rsidRDefault="000C2C2B">
      <w:r>
        <w:separator/>
      </w:r>
    </w:p>
  </w:footnote>
  <w:footnote w:type="continuationSeparator" w:id="0">
    <w:p w14:paraId="6590129C" w14:textId="77777777" w:rsidR="000C2C2B" w:rsidRDefault="000C2C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EC99CD"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43A3670"/>
    <w:multiLevelType w:val="hybridMultilevel"/>
    <w:tmpl w:val="4ED6C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17"/>
  </w:num>
  <w:num w:numId="3">
    <w:abstractNumId w:val="12"/>
  </w:num>
  <w:num w:numId="4">
    <w:abstractNumId w:val="13"/>
  </w:num>
  <w:num w:numId="5">
    <w:abstractNumId w:val="9"/>
  </w:num>
  <w:num w:numId="6">
    <w:abstractNumId w:val="15"/>
  </w:num>
  <w:num w:numId="7">
    <w:abstractNumId w:val="20"/>
  </w:num>
  <w:num w:numId="8">
    <w:abstractNumId w:val="10"/>
  </w:num>
  <w:num w:numId="9">
    <w:abstractNumId w:val="7"/>
  </w:num>
  <w:num w:numId="10">
    <w:abstractNumId w:val="2"/>
  </w:num>
  <w:num w:numId="11">
    <w:abstractNumId w:val="1"/>
  </w:num>
  <w:num w:numId="12">
    <w:abstractNumId w:val="0"/>
  </w:num>
  <w:num w:numId="13">
    <w:abstractNumId w:val="18"/>
  </w:num>
  <w:num w:numId="14">
    <w:abstractNumId w:val="19"/>
  </w:num>
  <w:num w:numId="15">
    <w:abstractNumId w:val="14"/>
  </w:num>
  <w:num w:numId="16">
    <w:abstractNumId w:val="21"/>
  </w:num>
  <w:num w:numId="17">
    <w:abstractNumId w:val="5"/>
  </w:num>
  <w:num w:numId="18">
    <w:abstractNumId w:val="6"/>
  </w:num>
  <w:num w:numId="19">
    <w:abstractNumId w:val="4"/>
  </w:num>
  <w:num w:numId="20">
    <w:abstractNumId w:val="23"/>
  </w:num>
  <w:num w:numId="21">
    <w:abstractNumId w:val="11"/>
  </w:num>
  <w:num w:numId="22">
    <w:abstractNumId w:val="22"/>
  </w:num>
  <w:num w:numId="23">
    <w:abstractNumId w:val="8"/>
  </w:num>
  <w:num w:numId="24">
    <w:abstractNumId w:val="12"/>
  </w:num>
  <w:num w:numId="25">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2AFA"/>
    <w:rsid w:val="000006E1"/>
    <w:rsid w:val="00002A37"/>
    <w:rsid w:val="0000564C"/>
    <w:rsid w:val="00006446"/>
    <w:rsid w:val="00006896"/>
    <w:rsid w:val="00007CDC"/>
    <w:rsid w:val="00011B28"/>
    <w:rsid w:val="00015D15"/>
    <w:rsid w:val="0002564D"/>
    <w:rsid w:val="00025ECA"/>
    <w:rsid w:val="000325B8"/>
    <w:rsid w:val="00034C15"/>
    <w:rsid w:val="00036BA1"/>
    <w:rsid w:val="000422E2"/>
    <w:rsid w:val="00042F22"/>
    <w:rsid w:val="000444EF"/>
    <w:rsid w:val="00050CAD"/>
    <w:rsid w:val="00052A07"/>
    <w:rsid w:val="000534E3"/>
    <w:rsid w:val="0005606A"/>
    <w:rsid w:val="00057117"/>
    <w:rsid w:val="000616E7"/>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2D9"/>
    <w:rsid w:val="000C165A"/>
    <w:rsid w:val="000C2C2B"/>
    <w:rsid w:val="000C2E19"/>
    <w:rsid w:val="000D0D07"/>
    <w:rsid w:val="000D4797"/>
    <w:rsid w:val="000E0527"/>
    <w:rsid w:val="000E1E92"/>
    <w:rsid w:val="000F06D6"/>
    <w:rsid w:val="000F0EB1"/>
    <w:rsid w:val="000F1106"/>
    <w:rsid w:val="000F3BE9"/>
    <w:rsid w:val="000F3F6C"/>
    <w:rsid w:val="000F479A"/>
    <w:rsid w:val="000F6B61"/>
    <w:rsid w:val="000F6DF3"/>
    <w:rsid w:val="001005FF"/>
    <w:rsid w:val="001062FB"/>
    <w:rsid w:val="001063E6"/>
    <w:rsid w:val="00113CF4"/>
    <w:rsid w:val="001153EA"/>
    <w:rsid w:val="00115643"/>
    <w:rsid w:val="00116765"/>
    <w:rsid w:val="00117096"/>
    <w:rsid w:val="001219F5"/>
    <w:rsid w:val="00121A20"/>
    <w:rsid w:val="0012377F"/>
    <w:rsid w:val="00124314"/>
    <w:rsid w:val="00126B4A"/>
    <w:rsid w:val="0013254F"/>
    <w:rsid w:val="00132FD0"/>
    <w:rsid w:val="001344C0"/>
    <w:rsid w:val="001346FA"/>
    <w:rsid w:val="00135252"/>
    <w:rsid w:val="00137AB5"/>
    <w:rsid w:val="00137F0B"/>
    <w:rsid w:val="00151E23"/>
    <w:rsid w:val="001526E0"/>
    <w:rsid w:val="00153BFB"/>
    <w:rsid w:val="001551B5"/>
    <w:rsid w:val="00155606"/>
    <w:rsid w:val="00155A1B"/>
    <w:rsid w:val="00156942"/>
    <w:rsid w:val="00162A94"/>
    <w:rsid w:val="00165259"/>
    <w:rsid w:val="001659C1"/>
    <w:rsid w:val="00173A8E"/>
    <w:rsid w:val="0017502C"/>
    <w:rsid w:val="001810A0"/>
    <w:rsid w:val="0018143F"/>
    <w:rsid w:val="00181FF8"/>
    <w:rsid w:val="00190AC1"/>
    <w:rsid w:val="00191442"/>
    <w:rsid w:val="0019341A"/>
    <w:rsid w:val="001938DB"/>
    <w:rsid w:val="0019549B"/>
    <w:rsid w:val="0019705A"/>
    <w:rsid w:val="00197DF9"/>
    <w:rsid w:val="001A1987"/>
    <w:rsid w:val="001A2564"/>
    <w:rsid w:val="001A6173"/>
    <w:rsid w:val="001A6AE8"/>
    <w:rsid w:val="001A6CBA"/>
    <w:rsid w:val="001B0D97"/>
    <w:rsid w:val="001B5A5D"/>
    <w:rsid w:val="001B6F28"/>
    <w:rsid w:val="001C00E9"/>
    <w:rsid w:val="001C1CE5"/>
    <w:rsid w:val="001C3D2A"/>
    <w:rsid w:val="001D51BA"/>
    <w:rsid w:val="001D53E7"/>
    <w:rsid w:val="001D6342"/>
    <w:rsid w:val="001D6D53"/>
    <w:rsid w:val="001E58E2"/>
    <w:rsid w:val="001E7AED"/>
    <w:rsid w:val="001F2482"/>
    <w:rsid w:val="001F3916"/>
    <w:rsid w:val="001F54C5"/>
    <w:rsid w:val="001F662C"/>
    <w:rsid w:val="001F7074"/>
    <w:rsid w:val="00200490"/>
    <w:rsid w:val="00201F3A"/>
    <w:rsid w:val="00203F96"/>
    <w:rsid w:val="002066B1"/>
    <w:rsid w:val="002069B2"/>
    <w:rsid w:val="00207FA3"/>
    <w:rsid w:val="00213D2B"/>
    <w:rsid w:val="00214DA8"/>
    <w:rsid w:val="00215423"/>
    <w:rsid w:val="002158FA"/>
    <w:rsid w:val="00216FC8"/>
    <w:rsid w:val="00220600"/>
    <w:rsid w:val="00220D80"/>
    <w:rsid w:val="002224DB"/>
    <w:rsid w:val="00223FCB"/>
    <w:rsid w:val="002252C3"/>
    <w:rsid w:val="00225C54"/>
    <w:rsid w:val="00230765"/>
    <w:rsid w:val="00230D18"/>
    <w:rsid w:val="002319E4"/>
    <w:rsid w:val="00235632"/>
    <w:rsid w:val="00235872"/>
    <w:rsid w:val="00241559"/>
    <w:rsid w:val="002435B3"/>
    <w:rsid w:val="002458EB"/>
    <w:rsid w:val="00246480"/>
    <w:rsid w:val="002500C8"/>
    <w:rsid w:val="0025260C"/>
    <w:rsid w:val="0025647E"/>
    <w:rsid w:val="00257543"/>
    <w:rsid w:val="002617E7"/>
    <w:rsid w:val="00264228"/>
    <w:rsid w:val="00264334"/>
    <w:rsid w:val="0026473E"/>
    <w:rsid w:val="00266214"/>
    <w:rsid w:val="00267C83"/>
    <w:rsid w:val="0027144F"/>
    <w:rsid w:val="00271813"/>
    <w:rsid w:val="00271F3A"/>
    <w:rsid w:val="00273278"/>
    <w:rsid w:val="002737F4"/>
    <w:rsid w:val="002805F5"/>
    <w:rsid w:val="00280751"/>
    <w:rsid w:val="00280DA2"/>
    <w:rsid w:val="0028280A"/>
    <w:rsid w:val="00286ACD"/>
    <w:rsid w:val="00287838"/>
    <w:rsid w:val="00287E4D"/>
    <w:rsid w:val="002907B5"/>
    <w:rsid w:val="00292EB7"/>
    <w:rsid w:val="00296227"/>
    <w:rsid w:val="00296F44"/>
    <w:rsid w:val="0029777D"/>
    <w:rsid w:val="002A055E"/>
    <w:rsid w:val="002A1D4E"/>
    <w:rsid w:val="002A2869"/>
    <w:rsid w:val="002B24D6"/>
    <w:rsid w:val="002C41E6"/>
    <w:rsid w:val="002D071A"/>
    <w:rsid w:val="002D34B2"/>
    <w:rsid w:val="002D48B0"/>
    <w:rsid w:val="002D5B37"/>
    <w:rsid w:val="002D7637"/>
    <w:rsid w:val="002E17F2"/>
    <w:rsid w:val="002E7CAE"/>
    <w:rsid w:val="002F1320"/>
    <w:rsid w:val="002F2771"/>
    <w:rsid w:val="002F37A9"/>
    <w:rsid w:val="00301CE6"/>
    <w:rsid w:val="0030256B"/>
    <w:rsid w:val="00302F1D"/>
    <w:rsid w:val="00303533"/>
    <w:rsid w:val="0030501F"/>
    <w:rsid w:val="00307248"/>
    <w:rsid w:val="00307BA1"/>
    <w:rsid w:val="00311702"/>
    <w:rsid w:val="00311E82"/>
    <w:rsid w:val="00313FD6"/>
    <w:rsid w:val="003143BD"/>
    <w:rsid w:val="00315363"/>
    <w:rsid w:val="003203ED"/>
    <w:rsid w:val="003225F9"/>
    <w:rsid w:val="00322C9F"/>
    <w:rsid w:val="00324D23"/>
    <w:rsid w:val="00331751"/>
    <w:rsid w:val="00332AFA"/>
    <w:rsid w:val="00334579"/>
    <w:rsid w:val="00335858"/>
    <w:rsid w:val="00336BDA"/>
    <w:rsid w:val="00336E95"/>
    <w:rsid w:val="00342BD7"/>
    <w:rsid w:val="00345FAA"/>
    <w:rsid w:val="00346916"/>
    <w:rsid w:val="00346DB5"/>
    <w:rsid w:val="003477B1"/>
    <w:rsid w:val="00350EE2"/>
    <w:rsid w:val="00356000"/>
    <w:rsid w:val="00357380"/>
    <w:rsid w:val="003602D9"/>
    <w:rsid w:val="003604CE"/>
    <w:rsid w:val="00370E47"/>
    <w:rsid w:val="003742AC"/>
    <w:rsid w:val="00377CE1"/>
    <w:rsid w:val="00377FC9"/>
    <w:rsid w:val="00381E2F"/>
    <w:rsid w:val="00385BF0"/>
    <w:rsid w:val="003939FF"/>
    <w:rsid w:val="003A2223"/>
    <w:rsid w:val="003A2A0F"/>
    <w:rsid w:val="003A45A1"/>
    <w:rsid w:val="003A5B0A"/>
    <w:rsid w:val="003A6BAC"/>
    <w:rsid w:val="003A70A4"/>
    <w:rsid w:val="003A7EF3"/>
    <w:rsid w:val="003B02A6"/>
    <w:rsid w:val="003B159C"/>
    <w:rsid w:val="003B369F"/>
    <w:rsid w:val="003B36A3"/>
    <w:rsid w:val="003B64BB"/>
    <w:rsid w:val="003B7FE5"/>
    <w:rsid w:val="003C11C8"/>
    <w:rsid w:val="003C2702"/>
    <w:rsid w:val="003C7806"/>
    <w:rsid w:val="003D109F"/>
    <w:rsid w:val="003D2478"/>
    <w:rsid w:val="003D3C45"/>
    <w:rsid w:val="003D5B1F"/>
    <w:rsid w:val="003E15FA"/>
    <w:rsid w:val="003E55E4"/>
    <w:rsid w:val="003E74E3"/>
    <w:rsid w:val="003F05C7"/>
    <w:rsid w:val="003F2CD4"/>
    <w:rsid w:val="003F6BBE"/>
    <w:rsid w:val="004000E8"/>
    <w:rsid w:val="00402E2B"/>
    <w:rsid w:val="0040512B"/>
    <w:rsid w:val="00405CA5"/>
    <w:rsid w:val="00407CD3"/>
    <w:rsid w:val="00410134"/>
    <w:rsid w:val="00410B72"/>
    <w:rsid w:val="00410F18"/>
    <w:rsid w:val="0041263E"/>
    <w:rsid w:val="00413AAC"/>
    <w:rsid w:val="00413E92"/>
    <w:rsid w:val="004207D5"/>
    <w:rsid w:val="00421105"/>
    <w:rsid w:val="0042175C"/>
    <w:rsid w:val="00422AA4"/>
    <w:rsid w:val="004242F4"/>
    <w:rsid w:val="00427248"/>
    <w:rsid w:val="00427874"/>
    <w:rsid w:val="00437447"/>
    <w:rsid w:val="00441A92"/>
    <w:rsid w:val="004431DC"/>
    <w:rsid w:val="00444F56"/>
    <w:rsid w:val="00446488"/>
    <w:rsid w:val="004517AA"/>
    <w:rsid w:val="00452CAC"/>
    <w:rsid w:val="00457565"/>
    <w:rsid w:val="00457B71"/>
    <w:rsid w:val="004669E2"/>
    <w:rsid w:val="00470C31"/>
    <w:rsid w:val="00471DE0"/>
    <w:rsid w:val="004734D0"/>
    <w:rsid w:val="0047556B"/>
    <w:rsid w:val="00477768"/>
    <w:rsid w:val="00487499"/>
    <w:rsid w:val="00490190"/>
    <w:rsid w:val="004918B1"/>
    <w:rsid w:val="00491B7D"/>
    <w:rsid w:val="00492BC5"/>
    <w:rsid w:val="004964F1"/>
    <w:rsid w:val="004A16BC"/>
    <w:rsid w:val="004A2B94"/>
    <w:rsid w:val="004B6F6A"/>
    <w:rsid w:val="004B7C0C"/>
    <w:rsid w:val="004C3898"/>
    <w:rsid w:val="004D36B1"/>
    <w:rsid w:val="004D7EBD"/>
    <w:rsid w:val="004E2680"/>
    <w:rsid w:val="004E28F9"/>
    <w:rsid w:val="004E462E"/>
    <w:rsid w:val="004E56DC"/>
    <w:rsid w:val="004E5707"/>
    <w:rsid w:val="004E5CE2"/>
    <w:rsid w:val="004E76F4"/>
    <w:rsid w:val="004F0B4E"/>
    <w:rsid w:val="004F0B6C"/>
    <w:rsid w:val="004F2078"/>
    <w:rsid w:val="004F4197"/>
    <w:rsid w:val="004F4DA3"/>
    <w:rsid w:val="00506557"/>
    <w:rsid w:val="0050677A"/>
    <w:rsid w:val="0050739C"/>
    <w:rsid w:val="005108D8"/>
    <w:rsid w:val="005116F9"/>
    <w:rsid w:val="005153A7"/>
    <w:rsid w:val="005219CF"/>
    <w:rsid w:val="00522D80"/>
    <w:rsid w:val="00534B59"/>
    <w:rsid w:val="005355A2"/>
    <w:rsid w:val="00536759"/>
    <w:rsid w:val="00537C62"/>
    <w:rsid w:val="00546970"/>
    <w:rsid w:val="005476F9"/>
    <w:rsid w:val="00550726"/>
    <w:rsid w:val="00551550"/>
    <w:rsid w:val="00554E19"/>
    <w:rsid w:val="0056121F"/>
    <w:rsid w:val="0056466D"/>
    <w:rsid w:val="00564B48"/>
    <w:rsid w:val="00572505"/>
    <w:rsid w:val="00582809"/>
    <w:rsid w:val="00582DC2"/>
    <w:rsid w:val="0058798C"/>
    <w:rsid w:val="005900FA"/>
    <w:rsid w:val="005935A4"/>
    <w:rsid w:val="005948C2"/>
    <w:rsid w:val="00595DCA"/>
    <w:rsid w:val="0059779B"/>
    <w:rsid w:val="005A1050"/>
    <w:rsid w:val="005A209A"/>
    <w:rsid w:val="005A662D"/>
    <w:rsid w:val="005B05AD"/>
    <w:rsid w:val="005B1409"/>
    <w:rsid w:val="005B35D7"/>
    <w:rsid w:val="005B392A"/>
    <w:rsid w:val="005B3AA3"/>
    <w:rsid w:val="005B6F83"/>
    <w:rsid w:val="005C4516"/>
    <w:rsid w:val="005C4980"/>
    <w:rsid w:val="005C74FB"/>
    <w:rsid w:val="005D1602"/>
    <w:rsid w:val="005E385F"/>
    <w:rsid w:val="005E5B81"/>
    <w:rsid w:val="005F2CB1"/>
    <w:rsid w:val="005F3025"/>
    <w:rsid w:val="005F3574"/>
    <w:rsid w:val="005F4E56"/>
    <w:rsid w:val="005F618C"/>
    <w:rsid w:val="005F70BD"/>
    <w:rsid w:val="005F76B1"/>
    <w:rsid w:val="0060283C"/>
    <w:rsid w:val="00604F14"/>
    <w:rsid w:val="00611B83"/>
    <w:rsid w:val="00613257"/>
    <w:rsid w:val="00620A71"/>
    <w:rsid w:val="00620D80"/>
    <w:rsid w:val="006234A6"/>
    <w:rsid w:val="00630001"/>
    <w:rsid w:val="006311B3"/>
    <w:rsid w:val="0063284C"/>
    <w:rsid w:val="00636398"/>
    <w:rsid w:val="006368D3"/>
    <w:rsid w:val="00636ABF"/>
    <w:rsid w:val="006377EC"/>
    <w:rsid w:val="0064039A"/>
    <w:rsid w:val="0064151F"/>
    <w:rsid w:val="00641533"/>
    <w:rsid w:val="0064208D"/>
    <w:rsid w:val="00643475"/>
    <w:rsid w:val="0064396A"/>
    <w:rsid w:val="0064624E"/>
    <w:rsid w:val="00647807"/>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3D6E"/>
    <w:rsid w:val="006741F2"/>
    <w:rsid w:val="00674CC3"/>
    <w:rsid w:val="00675C72"/>
    <w:rsid w:val="006771F9"/>
    <w:rsid w:val="006776D7"/>
    <w:rsid w:val="00681003"/>
    <w:rsid w:val="006817C9"/>
    <w:rsid w:val="00683ECE"/>
    <w:rsid w:val="00694C93"/>
    <w:rsid w:val="00695FC2"/>
    <w:rsid w:val="00696949"/>
    <w:rsid w:val="00697052"/>
    <w:rsid w:val="006A46FB"/>
    <w:rsid w:val="006A5E28"/>
    <w:rsid w:val="006A697B"/>
    <w:rsid w:val="006A7AFF"/>
    <w:rsid w:val="006B1816"/>
    <w:rsid w:val="006B2099"/>
    <w:rsid w:val="006B50CF"/>
    <w:rsid w:val="006B6EFF"/>
    <w:rsid w:val="006C03B8"/>
    <w:rsid w:val="006C2407"/>
    <w:rsid w:val="006C5EC9"/>
    <w:rsid w:val="006C6059"/>
    <w:rsid w:val="006C7522"/>
    <w:rsid w:val="006D403C"/>
    <w:rsid w:val="006D6F08"/>
    <w:rsid w:val="006E062C"/>
    <w:rsid w:val="006E1C82"/>
    <w:rsid w:val="006E28B7"/>
    <w:rsid w:val="006E2A9B"/>
    <w:rsid w:val="006E3310"/>
    <w:rsid w:val="006E4E39"/>
    <w:rsid w:val="006E565E"/>
    <w:rsid w:val="006E673D"/>
    <w:rsid w:val="006E7D3B"/>
    <w:rsid w:val="006F1B70"/>
    <w:rsid w:val="006F341D"/>
    <w:rsid w:val="006F3CDE"/>
    <w:rsid w:val="006F58D4"/>
    <w:rsid w:val="006F6582"/>
    <w:rsid w:val="0070346E"/>
    <w:rsid w:val="00704EDB"/>
    <w:rsid w:val="00706101"/>
    <w:rsid w:val="00707072"/>
    <w:rsid w:val="00707D61"/>
    <w:rsid w:val="0071195E"/>
    <w:rsid w:val="00712287"/>
    <w:rsid w:val="00712772"/>
    <w:rsid w:val="007148D3"/>
    <w:rsid w:val="00715B9A"/>
    <w:rsid w:val="007257D0"/>
    <w:rsid w:val="00726EA6"/>
    <w:rsid w:val="00727208"/>
    <w:rsid w:val="00727680"/>
    <w:rsid w:val="007348B1"/>
    <w:rsid w:val="007362A6"/>
    <w:rsid w:val="00736D7D"/>
    <w:rsid w:val="00740C0B"/>
    <w:rsid w:val="00740E58"/>
    <w:rsid w:val="007445A0"/>
    <w:rsid w:val="0074524B"/>
    <w:rsid w:val="00747D8B"/>
    <w:rsid w:val="00751228"/>
    <w:rsid w:val="007571E1"/>
    <w:rsid w:val="007604B2"/>
    <w:rsid w:val="00765281"/>
    <w:rsid w:val="00766919"/>
    <w:rsid w:val="00766BAD"/>
    <w:rsid w:val="007729A2"/>
    <w:rsid w:val="007755F2"/>
    <w:rsid w:val="00776971"/>
    <w:rsid w:val="00780A80"/>
    <w:rsid w:val="0078177E"/>
    <w:rsid w:val="0078304C"/>
    <w:rsid w:val="00783673"/>
    <w:rsid w:val="007847F4"/>
    <w:rsid w:val="00785490"/>
    <w:rsid w:val="007925EA"/>
    <w:rsid w:val="00793CD8"/>
    <w:rsid w:val="00794F29"/>
    <w:rsid w:val="007952A4"/>
    <w:rsid w:val="00795C92"/>
    <w:rsid w:val="00796231"/>
    <w:rsid w:val="007A1CB3"/>
    <w:rsid w:val="007A306F"/>
    <w:rsid w:val="007A43A6"/>
    <w:rsid w:val="007A58A6"/>
    <w:rsid w:val="007B3D2D"/>
    <w:rsid w:val="007B50AE"/>
    <w:rsid w:val="007B51DF"/>
    <w:rsid w:val="007C05DD"/>
    <w:rsid w:val="007C336E"/>
    <w:rsid w:val="007C3D18"/>
    <w:rsid w:val="007C60BF"/>
    <w:rsid w:val="007C6A07"/>
    <w:rsid w:val="007C75A1"/>
    <w:rsid w:val="007C77A5"/>
    <w:rsid w:val="007D04E5"/>
    <w:rsid w:val="007D5901"/>
    <w:rsid w:val="007D7526"/>
    <w:rsid w:val="007E4610"/>
    <w:rsid w:val="007E4715"/>
    <w:rsid w:val="007E505B"/>
    <w:rsid w:val="007E7091"/>
    <w:rsid w:val="007F4BC7"/>
    <w:rsid w:val="00803FAE"/>
    <w:rsid w:val="0080605F"/>
    <w:rsid w:val="00806ECE"/>
    <w:rsid w:val="00807786"/>
    <w:rsid w:val="00811FCB"/>
    <w:rsid w:val="00812A29"/>
    <w:rsid w:val="008158D6"/>
    <w:rsid w:val="00817196"/>
    <w:rsid w:val="008235DB"/>
    <w:rsid w:val="00824AB4"/>
    <w:rsid w:val="00825C42"/>
    <w:rsid w:val="00825D25"/>
    <w:rsid w:val="00825F29"/>
    <w:rsid w:val="00827D6F"/>
    <w:rsid w:val="00831938"/>
    <w:rsid w:val="008376AC"/>
    <w:rsid w:val="00840620"/>
    <w:rsid w:val="00840D00"/>
    <w:rsid w:val="008444E8"/>
    <w:rsid w:val="00844E80"/>
    <w:rsid w:val="00846FE7"/>
    <w:rsid w:val="00853431"/>
    <w:rsid w:val="00856911"/>
    <w:rsid w:val="008677FD"/>
    <w:rsid w:val="008706D4"/>
    <w:rsid w:val="00870F8A"/>
    <w:rsid w:val="008719A4"/>
    <w:rsid w:val="00871D23"/>
    <w:rsid w:val="00874312"/>
    <w:rsid w:val="0087437C"/>
    <w:rsid w:val="00875CD7"/>
    <w:rsid w:val="00876B4D"/>
    <w:rsid w:val="00877D4C"/>
    <w:rsid w:val="00877F18"/>
    <w:rsid w:val="008941E3"/>
    <w:rsid w:val="00894A88"/>
    <w:rsid w:val="00895386"/>
    <w:rsid w:val="0089637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35B9"/>
    <w:rsid w:val="008C4958"/>
    <w:rsid w:val="008C4BAA"/>
    <w:rsid w:val="008C6AE8"/>
    <w:rsid w:val="008C7573"/>
    <w:rsid w:val="008D00A5"/>
    <w:rsid w:val="008D34F1"/>
    <w:rsid w:val="008D39D8"/>
    <w:rsid w:val="008D6D1A"/>
    <w:rsid w:val="008E065E"/>
    <w:rsid w:val="008E0927"/>
    <w:rsid w:val="008E1909"/>
    <w:rsid w:val="008F1C4E"/>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264D0"/>
    <w:rsid w:val="00931BD9"/>
    <w:rsid w:val="009368F3"/>
    <w:rsid w:val="00941636"/>
    <w:rsid w:val="00943742"/>
    <w:rsid w:val="00945C05"/>
    <w:rsid w:val="00946945"/>
    <w:rsid w:val="00947713"/>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90630"/>
    <w:rsid w:val="00991761"/>
    <w:rsid w:val="00994DCA"/>
    <w:rsid w:val="009960EC"/>
    <w:rsid w:val="009970DD"/>
    <w:rsid w:val="009A0FBA"/>
    <w:rsid w:val="009A1601"/>
    <w:rsid w:val="009A3BB6"/>
    <w:rsid w:val="009A462D"/>
    <w:rsid w:val="009A5CBA"/>
    <w:rsid w:val="009B1F30"/>
    <w:rsid w:val="009B3AC2"/>
    <w:rsid w:val="009B4DF4"/>
    <w:rsid w:val="009B564E"/>
    <w:rsid w:val="009B7E87"/>
    <w:rsid w:val="009C0169"/>
    <w:rsid w:val="009C403E"/>
    <w:rsid w:val="009D4FF0"/>
    <w:rsid w:val="009D703C"/>
    <w:rsid w:val="009D718F"/>
    <w:rsid w:val="009E068F"/>
    <w:rsid w:val="009E14E0"/>
    <w:rsid w:val="009E2E90"/>
    <w:rsid w:val="009E35DB"/>
    <w:rsid w:val="009E47A3"/>
    <w:rsid w:val="009F08F3"/>
    <w:rsid w:val="009F344F"/>
    <w:rsid w:val="00A031D8"/>
    <w:rsid w:val="00A048A8"/>
    <w:rsid w:val="00A04F49"/>
    <w:rsid w:val="00A12D45"/>
    <w:rsid w:val="00A13E54"/>
    <w:rsid w:val="00A17F63"/>
    <w:rsid w:val="00A2193B"/>
    <w:rsid w:val="00A2351A"/>
    <w:rsid w:val="00A264A9"/>
    <w:rsid w:val="00A26DCF"/>
    <w:rsid w:val="00A27785"/>
    <w:rsid w:val="00A30187"/>
    <w:rsid w:val="00A3448A"/>
    <w:rsid w:val="00A36297"/>
    <w:rsid w:val="00A37DF9"/>
    <w:rsid w:val="00A41E2B"/>
    <w:rsid w:val="00A4492E"/>
    <w:rsid w:val="00A45B74"/>
    <w:rsid w:val="00A52E1D"/>
    <w:rsid w:val="00A61499"/>
    <w:rsid w:val="00A626CA"/>
    <w:rsid w:val="00A62A77"/>
    <w:rsid w:val="00A63483"/>
    <w:rsid w:val="00A657D7"/>
    <w:rsid w:val="00A660AC"/>
    <w:rsid w:val="00A67E6C"/>
    <w:rsid w:val="00A71B99"/>
    <w:rsid w:val="00A739D0"/>
    <w:rsid w:val="00A761D4"/>
    <w:rsid w:val="00A77EC4"/>
    <w:rsid w:val="00A8000F"/>
    <w:rsid w:val="00A92879"/>
    <w:rsid w:val="00A9442A"/>
    <w:rsid w:val="00AA016F"/>
    <w:rsid w:val="00AA1ED6"/>
    <w:rsid w:val="00AA51D6"/>
    <w:rsid w:val="00AB0BC8"/>
    <w:rsid w:val="00AB11CA"/>
    <w:rsid w:val="00AB14D9"/>
    <w:rsid w:val="00AB4AB8"/>
    <w:rsid w:val="00AB655E"/>
    <w:rsid w:val="00AC007F"/>
    <w:rsid w:val="00AC1234"/>
    <w:rsid w:val="00AC2ECD"/>
    <w:rsid w:val="00AC3119"/>
    <w:rsid w:val="00AC49FB"/>
    <w:rsid w:val="00AC5A10"/>
    <w:rsid w:val="00AD0AA3"/>
    <w:rsid w:val="00AD2ED0"/>
    <w:rsid w:val="00AD3F94"/>
    <w:rsid w:val="00AD4A5A"/>
    <w:rsid w:val="00AD5DB5"/>
    <w:rsid w:val="00AE0781"/>
    <w:rsid w:val="00AE0ECD"/>
    <w:rsid w:val="00AE27AC"/>
    <w:rsid w:val="00AE40E0"/>
    <w:rsid w:val="00AE4DBA"/>
    <w:rsid w:val="00AE4F07"/>
    <w:rsid w:val="00AF15E6"/>
    <w:rsid w:val="00AF1C5D"/>
    <w:rsid w:val="00AF42D7"/>
    <w:rsid w:val="00B006FE"/>
    <w:rsid w:val="00B007CB"/>
    <w:rsid w:val="00B02AA9"/>
    <w:rsid w:val="00B02FA3"/>
    <w:rsid w:val="00B05084"/>
    <w:rsid w:val="00B157F9"/>
    <w:rsid w:val="00B20256"/>
    <w:rsid w:val="00B20D09"/>
    <w:rsid w:val="00B27564"/>
    <w:rsid w:val="00B2763F"/>
    <w:rsid w:val="00B27AAC"/>
    <w:rsid w:val="00B30929"/>
    <w:rsid w:val="00B372AA"/>
    <w:rsid w:val="00B40445"/>
    <w:rsid w:val="00B409E0"/>
    <w:rsid w:val="00B41888"/>
    <w:rsid w:val="00B42FFF"/>
    <w:rsid w:val="00B436A6"/>
    <w:rsid w:val="00B45A52"/>
    <w:rsid w:val="00B46175"/>
    <w:rsid w:val="00B50E8A"/>
    <w:rsid w:val="00B548B7"/>
    <w:rsid w:val="00B607F0"/>
    <w:rsid w:val="00B612F3"/>
    <w:rsid w:val="00B664C7"/>
    <w:rsid w:val="00B66FB9"/>
    <w:rsid w:val="00B70AE7"/>
    <w:rsid w:val="00B739F6"/>
    <w:rsid w:val="00B81A6C"/>
    <w:rsid w:val="00B85DE5"/>
    <w:rsid w:val="00B90F73"/>
    <w:rsid w:val="00B92F3B"/>
    <w:rsid w:val="00B93B59"/>
    <w:rsid w:val="00B9406A"/>
    <w:rsid w:val="00B96A95"/>
    <w:rsid w:val="00BA2280"/>
    <w:rsid w:val="00BA2A08"/>
    <w:rsid w:val="00BA2D9B"/>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4C2A"/>
    <w:rsid w:val="00BF74C7"/>
    <w:rsid w:val="00C00DA3"/>
    <w:rsid w:val="00C015F1"/>
    <w:rsid w:val="00C01F33"/>
    <w:rsid w:val="00C02CC6"/>
    <w:rsid w:val="00C040F7"/>
    <w:rsid w:val="00C044AB"/>
    <w:rsid w:val="00C05706"/>
    <w:rsid w:val="00C07377"/>
    <w:rsid w:val="00C10478"/>
    <w:rsid w:val="00C12107"/>
    <w:rsid w:val="00C14D4B"/>
    <w:rsid w:val="00C154BB"/>
    <w:rsid w:val="00C279B5"/>
    <w:rsid w:val="00C27C45"/>
    <w:rsid w:val="00C30BB9"/>
    <w:rsid w:val="00C3719D"/>
    <w:rsid w:val="00C37CB2"/>
    <w:rsid w:val="00C473A5"/>
    <w:rsid w:val="00C54995"/>
    <w:rsid w:val="00C54D41"/>
    <w:rsid w:val="00C60783"/>
    <w:rsid w:val="00C60FB0"/>
    <w:rsid w:val="00C64672"/>
    <w:rsid w:val="00C70697"/>
    <w:rsid w:val="00C72093"/>
    <w:rsid w:val="00C72EF4"/>
    <w:rsid w:val="00C744FE"/>
    <w:rsid w:val="00C75D2F"/>
    <w:rsid w:val="00C767BE"/>
    <w:rsid w:val="00C76E3C"/>
    <w:rsid w:val="00C774CA"/>
    <w:rsid w:val="00C81568"/>
    <w:rsid w:val="00C81D2E"/>
    <w:rsid w:val="00C9027A"/>
    <w:rsid w:val="00C9068E"/>
    <w:rsid w:val="00C93814"/>
    <w:rsid w:val="00C93C4B"/>
    <w:rsid w:val="00C944AB"/>
    <w:rsid w:val="00C95B40"/>
    <w:rsid w:val="00CA1ED8"/>
    <w:rsid w:val="00CA6ED4"/>
    <w:rsid w:val="00CB1F63"/>
    <w:rsid w:val="00CB7170"/>
    <w:rsid w:val="00CC01BC"/>
    <w:rsid w:val="00CC040E"/>
    <w:rsid w:val="00CC111F"/>
    <w:rsid w:val="00CC2011"/>
    <w:rsid w:val="00CC3EA0"/>
    <w:rsid w:val="00CC58E9"/>
    <w:rsid w:val="00CC7B45"/>
    <w:rsid w:val="00CD1188"/>
    <w:rsid w:val="00CD2ED1"/>
    <w:rsid w:val="00CD337B"/>
    <w:rsid w:val="00CE0424"/>
    <w:rsid w:val="00CE1DC9"/>
    <w:rsid w:val="00CE5CD3"/>
    <w:rsid w:val="00CE7561"/>
    <w:rsid w:val="00CF1354"/>
    <w:rsid w:val="00CF3B1F"/>
    <w:rsid w:val="00CF3BF6"/>
    <w:rsid w:val="00CF625B"/>
    <w:rsid w:val="00CF687E"/>
    <w:rsid w:val="00CF6FC6"/>
    <w:rsid w:val="00D01ABE"/>
    <w:rsid w:val="00D0349B"/>
    <w:rsid w:val="00D0502C"/>
    <w:rsid w:val="00D0522F"/>
    <w:rsid w:val="00D05AE7"/>
    <w:rsid w:val="00D10249"/>
    <w:rsid w:val="00D115C3"/>
    <w:rsid w:val="00D11897"/>
    <w:rsid w:val="00D13135"/>
    <w:rsid w:val="00D1366C"/>
    <w:rsid w:val="00D13E4E"/>
    <w:rsid w:val="00D20563"/>
    <w:rsid w:val="00D235FF"/>
    <w:rsid w:val="00D239A7"/>
    <w:rsid w:val="00D23F47"/>
    <w:rsid w:val="00D36E71"/>
    <w:rsid w:val="00D37547"/>
    <w:rsid w:val="00D37D87"/>
    <w:rsid w:val="00D40B33"/>
    <w:rsid w:val="00D4318F"/>
    <w:rsid w:val="00D438BF"/>
    <w:rsid w:val="00D440F8"/>
    <w:rsid w:val="00D46ABD"/>
    <w:rsid w:val="00D546FF"/>
    <w:rsid w:val="00D55AD5"/>
    <w:rsid w:val="00D576CA"/>
    <w:rsid w:val="00D60AD9"/>
    <w:rsid w:val="00D61AF5"/>
    <w:rsid w:val="00D652B5"/>
    <w:rsid w:val="00D66155"/>
    <w:rsid w:val="00D708B0"/>
    <w:rsid w:val="00D72545"/>
    <w:rsid w:val="00D742A0"/>
    <w:rsid w:val="00D77B1D"/>
    <w:rsid w:val="00D8021F"/>
    <w:rsid w:val="00D80383"/>
    <w:rsid w:val="00D80593"/>
    <w:rsid w:val="00D8169B"/>
    <w:rsid w:val="00D823C6"/>
    <w:rsid w:val="00D8327F"/>
    <w:rsid w:val="00D86CA3"/>
    <w:rsid w:val="00D871CE"/>
    <w:rsid w:val="00D9196D"/>
    <w:rsid w:val="00D92982"/>
    <w:rsid w:val="00DA305E"/>
    <w:rsid w:val="00DA5417"/>
    <w:rsid w:val="00DA56E8"/>
    <w:rsid w:val="00DB0A9F"/>
    <w:rsid w:val="00DB377D"/>
    <w:rsid w:val="00DB4D7D"/>
    <w:rsid w:val="00DB71AF"/>
    <w:rsid w:val="00DC2D36"/>
    <w:rsid w:val="00DC53EF"/>
    <w:rsid w:val="00DD6BF0"/>
    <w:rsid w:val="00DE5608"/>
    <w:rsid w:val="00DE58D0"/>
    <w:rsid w:val="00DE654F"/>
    <w:rsid w:val="00DF0B6E"/>
    <w:rsid w:val="00DF15E0"/>
    <w:rsid w:val="00DF37A0"/>
    <w:rsid w:val="00E078BD"/>
    <w:rsid w:val="00E110E7"/>
    <w:rsid w:val="00E11B20"/>
    <w:rsid w:val="00E17FA2"/>
    <w:rsid w:val="00E20B0B"/>
    <w:rsid w:val="00E22330"/>
    <w:rsid w:val="00E30B5A"/>
    <w:rsid w:val="00E3123D"/>
    <w:rsid w:val="00E31461"/>
    <w:rsid w:val="00E31D43"/>
    <w:rsid w:val="00E32608"/>
    <w:rsid w:val="00E34188"/>
    <w:rsid w:val="00E34B6E"/>
    <w:rsid w:val="00E35559"/>
    <w:rsid w:val="00E3723A"/>
    <w:rsid w:val="00E37860"/>
    <w:rsid w:val="00E42EE6"/>
    <w:rsid w:val="00E446F1"/>
    <w:rsid w:val="00E4606F"/>
    <w:rsid w:val="00E46886"/>
    <w:rsid w:val="00E47AEF"/>
    <w:rsid w:val="00E53B75"/>
    <w:rsid w:val="00E54E3B"/>
    <w:rsid w:val="00E57565"/>
    <w:rsid w:val="00E61E5C"/>
    <w:rsid w:val="00E63838"/>
    <w:rsid w:val="00E64434"/>
    <w:rsid w:val="00E67C51"/>
    <w:rsid w:val="00E71E20"/>
    <w:rsid w:val="00E72EFC"/>
    <w:rsid w:val="00E758EC"/>
    <w:rsid w:val="00E8234C"/>
    <w:rsid w:val="00E83AA9"/>
    <w:rsid w:val="00E85928"/>
    <w:rsid w:val="00E8742F"/>
    <w:rsid w:val="00E87822"/>
    <w:rsid w:val="00E90395"/>
    <w:rsid w:val="00E90ACC"/>
    <w:rsid w:val="00E90E49"/>
    <w:rsid w:val="00E917F9"/>
    <w:rsid w:val="00E9291C"/>
    <w:rsid w:val="00E93FFE"/>
    <w:rsid w:val="00E94F8A"/>
    <w:rsid w:val="00EA79AE"/>
    <w:rsid w:val="00EA7A41"/>
    <w:rsid w:val="00EB077B"/>
    <w:rsid w:val="00EB4EA2"/>
    <w:rsid w:val="00EB7A7B"/>
    <w:rsid w:val="00EC0456"/>
    <w:rsid w:val="00EC24D5"/>
    <w:rsid w:val="00EC27C6"/>
    <w:rsid w:val="00EC4207"/>
    <w:rsid w:val="00EC51D5"/>
    <w:rsid w:val="00EC5653"/>
    <w:rsid w:val="00EC71CE"/>
    <w:rsid w:val="00ED1006"/>
    <w:rsid w:val="00ED211D"/>
    <w:rsid w:val="00EE6397"/>
    <w:rsid w:val="00EF18FE"/>
    <w:rsid w:val="00EF5787"/>
    <w:rsid w:val="00EF60D0"/>
    <w:rsid w:val="00EF67E5"/>
    <w:rsid w:val="00F0528D"/>
    <w:rsid w:val="00F06C67"/>
    <w:rsid w:val="00F06DFD"/>
    <w:rsid w:val="00F071D1"/>
    <w:rsid w:val="00F07533"/>
    <w:rsid w:val="00F10629"/>
    <w:rsid w:val="00F15FA5"/>
    <w:rsid w:val="00F16F7D"/>
    <w:rsid w:val="00F209B7"/>
    <w:rsid w:val="00F2376F"/>
    <w:rsid w:val="00F243D8"/>
    <w:rsid w:val="00F26BA0"/>
    <w:rsid w:val="00F30828"/>
    <w:rsid w:val="00F313D6"/>
    <w:rsid w:val="00F40F0C"/>
    <w:rsid w:val="00F4766C"/>
    <w:rsid w:val="00F5060E"/>
    <w:rsid w:val="00F507D1"/>
    <w:rsid w:val="00F519CE"/>
    <w:rsid w:val="00F51ADA"/>
    <w:rsid w:val="00F60203"/>
    <w:rsid w:val="00F607C5"/>
    <w:rsid w:val="00F60DEA"/>
    <w:rsid w:val="00F61DF6"/>
    <w:rsid w:val="00F6302A"/>
    <w:rsid w:val="00F63950"/>
    <w:rsid w:val="00F64C2B"/>
    <w:rsid w:val="00F651BE"/>
    <w:rsid w:val="00F67F53"/>
    <w:rsid w:val="00F703BE"/>
    <w:rsid w:val="00F71F69"/>
    <w:rsid w:val="00F72B72"/>
    <w:rsid w:val="00F74BB9"/>
    <w:rsid w:val="00F75582"/>
    <w:rsid w:val="00F76125"/>
    <w:rsid w:val="00F76EFA"/>
    <w:rsid w:val="00F804BE"/>
    <w:rsid w:val="00F817CE"/>
    <w:rsid w:val="00F8456C"/>
    <w:rsid w:val="00F859D8"/>
    <w:rsid w:val="00F868F5"/>
    <w:rsid w:val="00F9056A"/>
    <w:rsid w:val="00F90863"/>
    <w:rsid w:val="00F90F8D"/>
    <w:rsid w:val="00F92782"/>
    <w:rsid w:val="00F93AA9"/>
    <w:rsid w:val="00F96985"/>
    <w:rsid w:val="00F97838"/>
    <w:rsid w:val="00FA2BB3"/>
    <w:rsid w:val="00FA7C8F"/>
    <w:rsid w:val="00FB253F"/>
    <w:rsid w:val="00FB4C80"/>
    <w:rsid w:val="00FB6A6A"/>
    <w:rsid w:val="00FC6884"/>
    <w:rsid w:val="00FC7429"/>
    <w:rsid w:val="00FD07F6"/>
    <w:rsid w:val="00FD1EC8"/>
    <w:rsid w:val="00FD47ED"/>
    <w:rsid w:val="00FD74DB"/>
    <w:rsid w:val="00FD7660"/>
    <w:rsid w:val="00FE0655"/>
    <w:rsid w:val="00FE0DDE"/>
    <w:rsid w:val="00FE2365"/>
    <w:rsid w:val="00FE3772"/>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bidi="te-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3F65748"/>
  <w15:chartTrackingRefBased/>
  <w15:docId w15:val="{7ED30B34-51A8-4424-B69E-01A1F446A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99"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51550"/>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55155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51550"/>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uiPriority w:val="99"/>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customStyle="1" w:styleId="B1Zchn">
    <w:name w:val="B1 Zchn"/>
    <w:locked/>
    <w:rsid w:val="00D8169B"/>
    <w:rPr>
      <w:lang w:val="x-none" w:eastAsia="en-US"/>
    </w:rPr>
  </w:style>
  <w:style w:type="character" w:customStyle="1" w:styleId="colour">
    <w:name w:val="colour"/>
    <w:basedOn w:val="DefaultParagraphFont"/>
    <w:rsid w:val="00D8169B"/>
  </w:style>
  <w:style w:type="paragraph" w:styleId="Revision">
    <w:name w:val="Revision"/>
    <w:hidden/>
    <w:uiPriority w:val="99"/>
    <w:semiHidden/>
    <w:rsid w:val="00B96A95"/>
    <w:rPr>
      <w:rFonts w:asciiTheme="minorHAnsi" w:eastAsiaTheme="minorHAnsi" w:hAnsiTheme="minorHAnsi" w:cstheme="minorBidi"/>
      <w:sz w:val="22"/>
      <w:szCs w:val="22"/>
      <w:lang w:val="sv-SE" w:eastAsia="en-US"/>
    </w:rPr>
  </w:style>
  <w:style w:type="paragraph" w:customStyle="1" w:styleId="bullet">
    <w:name w:val="bullet"/>
    <w:basedOn w:val="ListParagraph"/>
    <w:qFormat/>
    <w:rsid w:val="004F4197"/>
    <w:pPr>
      <w:numPr>
        <w:numId w:val="23"/>
      </w:numPr>
      <w:spacing w:after="160" w:line="256" w:lineRule="auto"/>
      <w:ind w:left="720"/>
      <w:contextualSpacing/>
    </w:pPr>
    <w:rPr>
      <w:rFonts w:asciiTheme="minorHAnsi" w:eastAsia="Times New Roman" w:hAnsiTheme="minorHAnsi"/>
      <w:szCs w:val="24"/>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uiPriority w:val="99"/>
    <w:rsid w:val="009E2E90"/>
    <w:rPr>
      <w:rFonts w:asciiTheme="minorHAnsi" w:eastAsiaTheme="minorHAnsi" w:hAnsiTheme="minorHAnsi" w:cstheme="minorBidi"/>
      <w:b/>
      <w:sz w:val="22"/>
      <w:szCs w:val="22"/>
      <w:lang w:val="en-US"/>
    </w:rPr>
  </w:style>
  <w:style w:type="character" w:customStyle="1" w:styleId="TACChar">
    <w:name w:val="TAC Char"/>
    <w:link w:val="TAC"/>
    <w:qFormat/>
    <w:locked/>
    <w:rsid w:val="00AF15E6"/>
    <w:rPr>
      <w:rFonts w:ascii="Arial" w:eastAsiaTheme="minorHAnsi" w:hAnsi="Arial" w:cstheme="minorBidi"/>
      <w:sz w:val="18"/>
      <w:szCs w:val="22"/>
      <w:lang w:val="x-none" w:eastAsia="x-none"/>
    </w:rPr>
  </w:style>
  <w:style w:type="paragraph" w:customStyle="1" w:styleId="IvDbodytext">
    <w:name w:val="IvD bodytext"/>
    <w:basedOn w:val="BodyText"/>
    <w:link w:val="IvDbodytextChar"/>
    <w:qFormat/>
    <w:rsid w:val="00AE0ECD"/>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rsid w:val="00AE0ECD"/>
    <w:rPr>
      <w:rFonts w:ascii="Arial"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660251">
      <w:bodyDiv w:val="1"/>
      <w:marLeft w:val="0"/>
      <w:marRight w:val="0"/>
      <w:marTop w:val="0"/>
      <w:marBottom w:val="0"/>
      <w:divBdr>
        <w:top w:val="none" w:sz="0" w:space="0" w:color="auto"/>
        <w:left w:val="none" w:sz="0" w:space="0" w:color="auto"/>
        <w:bottom w:val="none" w:sz="0" w:space="0" w:color="auto"/>
        <w:right w:val="none" w:sz="0" w:space="0" w:color="auto"/>
      </w:divBdr>
    </w:div>
    <w:div w:id="1047997546">
      <w:bodyDiv w:val="1"/>
      <w:marLeft w:val="0"/>
      <w:marRight w:val="0"/>
      <w:marTop w:val="0"/>
      <w:marBottom w:val="0"/>
      <w:divBdr>
        <w:top w:val="none" w:sz="0" w:space="0" w:color="auto"/>
        <w:left w:val="none" w:sz="0" w:space="0" w:color="auto"/>
        <w:bottom w:val="none" w:sz="0" w:space="0" w:color="auto"/>
        <w:right w:val="none" w:sz="0" w:space="0" w:color="auto"/>
      </w:divBdr>
    </w:div>
    <w:div w:id="1130974413">
      <w:bodyDiv w:val="1"/>
      <w:marLeft w:val="0"/>
      <w:marRight w:val="0"/>
      <w:marTop w:val="0"/>
      <w:marBottom w:val="0"/>
      <w:divBdr>
        <w:top w:val="none" w:sz="0" w:space="0" w:color="auto"/>
        <w:left w:val="none" w:sz="0" w:space="0" w:color="auto"/>
        <w:bottom w:val="none" w:sz="0" w:space="0" w:color="auto"/>
        <w:right w:val="none" w:sz="0" w:space="0" w:color="auto"/>
      </w:divBdr>
    </w:div>
    <w:div w:id="1222444556">
      <w:bodyDiv w:val="1"/>
      <w:marLeft w:val="0"/>
      <w:marRight w:val="0"/>
      <w:marTop w:val="0"/>
      <w:marBottom w:val="0"/>
      <w:divBdr>
        <w:top w:val="none" w:sz="0" w:space="0" w:color="auto"/>
        <w:left w:val="none" w:sz="0" w:space="0" w:color="auto"/>
        <w:bottom w:val="none" w:sz="0" w:space="0" w:color="auto"/>
        <w:right w:val="none" w:sz="0" w:space="0" w:color="auto"/>
      </w:divBdr>
    </w:div>
    <w:div w:id="1317493690">
      <w:bodyDiv w:val="1"/>
      <w:marLeft w:val="0"/>
      <w:marRight w:val="0"/>
      <w:marTop w:val="0"/>
      <w:marBottom w:val="0"/>
      <w:divBdr>
        <w:top w:val="none" w:sz="0" w:space="0" w:color="auto"/>
        <w:left w:val="none" w:sz="0" w:space="0" w:color="auto"/>
        <w:bottom w:val="none" w:sz="0" w:space="0" w:color="auto"/>
        <w:right w:val="none" w:sz="0" w:space="0" w:color="auto"/>
      </w:divBdr>
    </w:div>
    <w:div w:id="1651783450">
      <w:bodyDiv w:val="1"/>
      <w:marLeft w:val="0"/>
      <w:marRight w:val="0"/>
      <w:marTop w:val="0"/>
      <w:marBottom w:val="0"/>
      <w:divBdr>
        <w:top w:val="none" w:sz="0" w:space="0" w:color="auto"/>
        <w:left w:val="none" w:sz="0" w:space="0" w:color="auto"/>
        <w:bottom w:val="none" w:sz="0" w:space="0" w:color="auto"/>
        <w:right w:val="none" w:sz="0" w:space="0" w:color="auto"/>
      </w:divBdr>
    </w:div>
    <w:div w:id="1675379741">
      <w:bodyDiv w:val="1"/>
      <w:marLeft w:val="0"/>
      <w:marRight w:val="0"/>
      <w:marTop w:val="0"/>
      <w:marBottom w:val="0"/>
      <w:divBdr>
        <w:top w:val="none" w:sz="0" w:space="0" w:color="auto"/>
        <w:left w:val="none" w:sz="0" w:space="0" w:color="auto"/>
        <w:bottom w:val="none" w:sz="0" w:space="0" w:color="auto"/>
        <w:right w:val="none" w:sz="0" w:space="0" w:color="auto"/>
      </w:divBdr>
    </w:div>
    <w:div w:id="1871382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wmf"/><Relationship Id="rId18" Type="http://schemas.openxmlformats.org/officeDocument/2006/relationships/image" Target="media/image11.wmf"/><Relationship Id="rId26" Type="http://schemas.openxmlformats.org/officeDocument/2006/relationships/image" Target="media/image17.wmf"/><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3.wmf"/><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wmf"/><Relationship Id="rId25" Type="http://schemas.openxmlformats.org/officeDocument/2006/relationships/image" Target="media/image16.w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2.wmf"/><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5.w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4.wmf"/><Relationship Id="rId28" Type="http://schemas.openxmlformats.org/officeDocument/2006/relationships/oleObject" Target="embeddings/oleObject4.bin"/><Relationship Id="rId36" Type="http://schemas.openxmlformats.org/officeDocument/2006/relationships/image" Target="media/image25.png"/><Relationship Id="rId10" Type="http://schemas.openxmlformats.org/officeDocument/2006/relationships/image" Target="media/image3.wmf"/><Relationship Id="rId19" Type="http://schemas.openxmlformats.org/officeDocument/2006/relationships/oleObject" Target="embeddings/oleObject1.bin"/><Relationship Id="rId31" Type="http://schemas.openxmlformats.org/officeDocument/2006/relationships/image" Target="media/image20.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wmf"/><Relationship Id="rId22" Type="http://schemas.openxmlformats.org/officeDocument/2006/relationships/oleObject" Target="embeddings/oleObject2.bin"/><Relationship Id="rId27" Type="http://schemas.openxmlformats.org/officeDocument/2006/relationships/oleObject" Target="embeddings/oleObject3.bin"/><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FF103E-3A40-489F-B3BE-804B34B48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314</TotalTime>
  <Pages>10</Pages>
  <Words>2342</Words>
  <Characters>13352</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15663</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Johan Axnäs</dc:creator>
  <cp:keywords>3GPP; Ericsson; TDoc</cp:keywords>
  <dc:description/>
  <cp:lastModifiedBy>Asbjörn Grövlen</cp:lastModifiedBy>
  <cp:revision>150</cp:revision>
  <cp:lastPrinted>2008-01-31T07:09:00Z</cp:lastPrinted>
  <dcterms:created xsi:type="dcterms:W3CDTF">2018-08-07T08:14:00Z</dcterms:created>
  <dcterms:modified xsi:type="dcterms:W3CDTF">2018-08-10T21:29:00Z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ies>
</file>